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0438" w14:textId="77777777" w:rsidR="008B2BAD" w:rsidRPr="00EF3263" w:rsidRDefault="008B2BAD" w:rsidP="008B2BAD">
      <w:pPr>
        <w:jc w:val="center"/>
        <w:rPr>
          <w:b/>
          <w:color w:val="000000" w:themeColor="text1"/>
        </w:rPr>
      </w:pPr>
      <w:r w:rsidRPr="00EF3263">
        <w:rPr>
          <w:rFonts w:hint="eastAsia"/>
          <w:b/>
          <w:color w:val="000000" w:themeColor="text1"/>
        </w:rPr>
        <w:t>特定非営利活動法人　日本成人矯正歯科学会</w:t>
      </w:r>
    </w:p>
    <w:p w14:paraId="7204BD45" w14:textId="77777777" w:rsidR="0039240C" w:rsidRPr="00EF3263" w:rsidRDefault="0039240C" w:rsidP="008B2BAD">
      <w:pPr>
        <w:jc w:val="center"/>
        <w:rPr>
          <w:b/>
          <w:color w:val="000000" w:themeColor="text1"/>
        </w:rPr>
      </w:pPr>
      <w:r w:rsidRPr="00EF3263">
        <w:rPr>
          <w:rFonts w:hint="eastAsia"/>
          <w:b/>
          <w:color w:val="000000" w:themeColor="text1"/>
        </w:rPr>
        <w:t>成人矯正歯科</w:t>
      </w:r>
      <w:r w:rsidR="00AC2812" w:rsidRPr="00EF3263">
        <w:rPr>
          <w:rFonts w:hint="eastAsia"/>
          <w:b/>
          <w:color w:val="000000" w:themeColor="text1"/>
        </w:rPr>
        <w:t>学</w:t>
      </w:r>
      <w:r w:rsidRPr="00EF3263">
        <w:rPr>
          <w:rFonts w:hint="eastAsia"/>
          <w:b/>
          <w:color w:val="000000" w:themeColor="text1"/>
        </w:rPr>
        <w:t>研究の利益相反（</w:t>
      </w:r>
      <w:r w:rsidRPr="00EF3263">
        <w:rPr>
          <w:rFonts w:hint="eastAsia"/>
          <w:b/>
          <w:color w:val="000000" w:themeColor="text1"/>
        </w:rPr>
        <w:t>COI</w:t>
      </w:r>
      <w:r w:rsidRPr="00EF3263">
        <w:rPr>
          <w:rFonts w:hint="eastAsia"/>
          <w:b/>
          <w:color w:val="000000" w:themeColor="text1"/>
        </w:rPr>
        <w:t>）に関する指針</w:t>
      </w:r>
    </w:p>
    <w:p w14:paraId="3ADDF39B" w14:textId="77777777" w:rsidR="008B2BAD" w:rsidRPr="00EF3263" w:rsidRDefault="008B2BAD">
      <w:pPr>
        <w:rPr>
          <w:color w:val="000000" w:themeColor="text1"/>
        </w:rPr>
      </w:pPr>
    </w:p>
    <w:p w14:paraId="6FD75EBE" w14:textId="77777777" w:rsidR="0077331E" w:rsidRPr="00EF3263" w:rsidRDefault="0077331E" w:rsidP="0077331E">
      <w:pPr>
        <w:jc w:val="center"/>
        <w:rPr>
          <w:b/>
          <w:color w:val="000000" w:themeColor="text1"/>
        </w:rPr>
      </w:pPr>
      <w:r w:rsidRPr="00EF3263">
        <w:rPr>
          <w:rFonts w:hint="eastAsia"/>
          <w:b/>
          <w:color w:val="000000" w:themeColor="text1"/>
        </w:rPr>
        <w:t>序　文</w:t>
      </w:r>
    </w:p>
    <w:p w14:paraId="345A8C45" w14:textId="77777777" w:rsidR="0077331E" w:rsidRPr="00EF3263" w:rsidRDefault="0077331E" w:rsidP="0077331E">
      <w:pPr>
        <w:jc w:val="left"/>
        <w:rPr>
          <w:color w:val="000000" w:themeColor="text1"/>
        </w:rPr>
      </w:pPr>
    </w:p>
    <w:p w14:paraId="10C4069D" w14:textId="1AFEF47C" w:rsidR="0077331E" w:rsidRPr="00EF3263" w:rsidRDefault="0077331E" w:rsidP="0077331E">
      <w:pPr>
        <w:jc w:val="left"/>
        <w:rPr>
          <w:color w:val="000000" w:themeColor="text1"/>
        </w:rPr>
      </w:pPr>
      <w:r w:rsidRPr="00EF3263">
        <w:rPr>
          <w:rFonts w:hint="eastAsia"/>
          <w:color w:val="000000" w:themeColor="text1"/>
        </w:rPr>
        <w:t xml:space="preserve">　特定非営利活動法人日本成人矯正歯科学会（以下「本学会」という。）の事業活動として実施される学術集会や刊行物などで発表される研究には、新規の医薬品、医療機器、医療技術を評価・検証する臨床研究あるいは産学連携による研究・開発が含まれる場合も少なくない。</w:t>
      </w:r>
      <w:r w:rsidR="00A0294B" w:rsidRPr="00EF3263">
        <w:rPr>
          <w:rFonts w:hint="eastAsia"/>
          <w:color w:val="000000" w:themeColor="text1"/>
        </w:rPr>
        <w:t>産学連携による成人矯正歯科学に関する基礎研究・臨床研究（以下「成人矯正歯科学研究」という）において、公的利益（学術的・倫理的責任を伴う研究成果の社会への還元）と</w:t>
      </w:r>
      <w:r w:rsidR="00237FC1" w:rsidRPr="00EF3263">
        <w:rPr>
          <w:rFonts w:hint="eastAsia"/>
          <w:color w:val="000000" w:themeColor="text1"/>
        </w:rPr>
        <w:t>私的</w:t>
      </w:r>
      <w:r w:rsidR="00A0294B" w:rsidRPr="00EF3263">
        <w:rPr>
          <w:rFonts w:hint="eastAsia"/>
          <w:color w:val="000000" w:themeColor="text1"/>
        </w:rPr>
        <w:t>利益（産学連携活動に伴い生じる金銭、地位、利権などの個人の利益）が発生する場合があり、これらの二種類の利益が研究者個人に生じることを「利益相反（</w:t>
      </w:r>
      <w:r w:rsidR="00A0294B" w:rsidRPr="00EF3263">
        <w:rPr>
          <w:rFonts w:hint="eastAsia"/>
          <w:color w:val="000000" w:themeColor="text1"/>
        </w:rPr>
        <w:t xml:space="preserve">Conflict of </w:t>
      </w:r>
      <w:r w:rsidR="00237FC1" w:rsidRPr="00EF3263">
        <w:rPr>
          <w:rFonts w:hint="eastAsia"/>
          <w:color w:val="000000" w:themeColor="text1"/>
        </w:rPr>
        <w:t>I</w:t>
      </w:r>
      <w:r w:rsidR="00A0294B" w:rsidRPr="00EF3263">
        <w:rPr>
          <w:rFonts w:hint="eastAsia"/>
          <w:color w:val="000000" w:themeColor="text1"/>
        </w:rPr>
        <w:t>nterest</w:t>
      </w:r>
      <w:r w:rsidR="00A0294B" w:rsidRPr="00EF3263">
        <w:rPr>
          <w:rFonts w:hint="eastAsia"/>
          <w:color w:val="000000" w:themeColor="text1"/>
        </w:rPr>
        <w:t>：</w:t>
      </w:r>
      <w:r w:rsidR="00A0294B" w:rsidRPr="00EF3263">
        <w:rPr>
          <w:rFonts w:hint="eastAsia"/>
          <w:color w:val="000000" w:themeColor="text1"/>
        </w:rPr>
        <w:t>COI</w:t>
      </w:r>
      <w:r w:rsidR="00A0294B" w:rsidRPr="00EF3263">
        <w:rPr>
          <w:rFonts w:hint="eastAsia"/>
          <w:color w:val="000000" w:themeColor="text1"/>
        </w:rPr>
        <w:t>）」と呼ぶ。</w:t>
      </w:r>
    </w:p>
    <w:p w14:paraId="4B3E7CD1" w14:textId="77777777" w:rsidR="00A0294B" w:rsidRPr="00EF3263" w:rsidRDefault="00A0294B" w:rsidP="008B2BAD">
      <w:pPr>
        <w:ind w:firstLine="210"/>
        <w:rPr>
          <w:color w:val="000000" w:themeColor="text1"/>
        </w:rPr>
      </w:pPr>
      <w:r w:rsidRPr="00EF3263">
        <w:rPr>
          <w:rFonts w:hint="eastAsia"/>
          <w:color w:val="000000" w:themeColor="text1"/>
        </w:rPr>
        <w:t>本学会は、倫理性・専門性が担保された</w:t>
      </w:r>
      <w:r w:rsidR="008B2BAD" w:rsidRPr="00EF3263">
        <w:rPr>
          <w:rFonts w:hint="eastAsia"/>
          <w:color w:val="000000" w:themeColor="text1"/>
        </w:rPr>
        <w:t>成人矯正歯科学</w:t>
      </w:r>
      <w:r w:rsidRPr="00EF3263">
        <w:rPr>
          <w:rFonts w:hint="eastAsia"/>
          <w:color w:val="000000" w:themeColor="text1"/>
        </w:rPr>
        <w:t>研究を推奨するものであるが、本学会会員の様々な研究活動において利益相反状態（以下「</w:t>
      </w:r>
      <w:r w:rsidRPr="00EF3263">
        <w:rPr>
          <w:rFonts w:hint="eastAsia"/>
          <w:color w:val="000000" w:themeColor="text1"/>
        </w:rPr>
        <w:t>COI</w:t>
      </w:r>
      <w:r w:rsidRPr="00EF3263">
        <w:rPr>
          <w:rFonts w:hint="eastAsia"/>
          <w:color w:val="000000" w:themeColor="text1"/>
        </w:rPr>
        <w:t>状態」という。）が生じることは避けられない</w:t>
      </w:r>
      <w:r w:rsidR="00237FC1" w:rsidRPr="00EF3263">
        <w:rPr>
          <w:rFonts w:hint="eastAsia"/>
          <w:color w:val="000000" w:themeColor="text1"/>
        </w:rPr>
        <w:t>。</w:t>
      </w:r>
      <w:r w:rsidRPr="00EF3263">
        <w:rPr>
          <w:rFonts w:hint="eastAsia"/>
          <w:color w:val="000000" w:themeColor="text1"/>
        </w:rPr>
        <w:t>COI</w:t>
      </w:r>
      <w:r w:rsidRPr="00EF3263">
        <w:rPr>
          <w:rFonts w:hint="eastAsia"/>
          <w:color w:val="000000" w:themeColor="text1"/>
        </w:rPr>
        <w:t>状態が深刻な場合は、研究方法、データ解析、結果の解釈などにおいて当該研究活動の正当性が歪められることが危惧される。一方、適切な研究成果であるにもかかわらず</w:t>
      </w:r>
      <w:r w:rsidRPr="00EF3263">
        <w:rPr>
          <w:rFonts w:hint="eastAsia"/>
          <w:color w:val="000000" w:themeColor="text1"/>
        </w:rPr>
        <w:t>COI</w:t>
      </w:r>
      <w:r w:rsidRPr="00EF3263">
        <w:rPr>
          <w:rFonts w:hint="eastAsia"/>
          <w:color w:val="000000" w:themeColor="text1"/>
        </w:rPr>
        <w:t>状態が開示されていない場合、公正な評価がなされないことが危惧される。特に回避すべき利益相反は「自らの立場を利用して自己または第三者の利益を図ろう」とする行為である。</w:t>
      </w:r>
    </w:p>
    <w:p w14:paraId="37473837" w14:textId="77777777" w:rsidR="00A0294B" w:rsidRPr="00EF3263" w:rsidRDefault="00A0294B" w:rsidP="008B2BAD">
      <w:pPr>
        <w:ind w:firstLine="210"/>
        <w:rPr>
          <w:color w:val="000000" w:themeColor="text1"/>
        </w:rPr>
      </w:pPr>
      <w:r w:rsidRPr="00EF3263">
        <w:rPr>
          <w:rFonts w:hint="eastAsia"/>
          <w:color w:val="000000" w:themeColor="text1"/>
        </w:rPr>
        <w:t>本学会は</w:t>
      </w:r>
      <w:r w:rsidR="00344C47" w:rsidRPr="00EF3263">
        <w:rPr>
          <w:rFonts w:hint="eastAsia"/>
          <w:color w:val="000000" w:themeColor="text1"/>
        </w:rPr>
        <w:t>成人矯正歯科学研究を「成人</w:t>
      </w:r>
      <w:r w:rsidR="00237FC1" w:rsidRPr="00EF3263">
        <w:rPr>
          <w:rFonts w:hint="eastAsia"/>
          <w:color w:val="000000" w:themeColor="text1"/>
        </w:rPr>
        <w:t>における</w:t>
      </w:r>
      <w:r w:rsidR="00344C47" w:rsidRPr="00EF3263">
        <w:rPr>
          <w:rFonts w:hint="eastAsia"/>
          <w:color w:val="000000" w:themeColor="text1"/>
        </w:rPr>
        <w:t>不正咬合の予防・診断および治療方法の改善、不正咬合の原因および病態の理解の向上ならびに患者および日本国民の生活の質の向上などを目的として行われる産学連携の研究にあって、生命科学研究や基礎医学研究から人間を対象とする臨床医学研究や臨床試験までの研究」と定義し、利益相反（</w:t>
      </w:r>
      <w:r w:rsidR="00344C47" w:rsidRPr="00EF3263">
        <w:rPr>
          <w:rFonts w:hint="eastAsia"/>
          <w:color w:val="000000" w:themeColor="text1"/>
        </w:rPr>
        <w:t>COI</w:t>
      </w:r>
      <w:r w:rsidR="00344C47" w:rsidRPr="00EF3263">
        <w:rPr>
          <w:rFonts w:hint="eastAsia"/>
          <w:color w:val="000000" w:themeColor="text1"/>
        </w:rPr>
        <w:t>）マネージメントの対象と位置づける。</w:t>
      </w:r>
    </w:p>
    <w:p w14:paraId="42446B19" w14:textId="77777777" w:rsidR="00344C47" w:rsidRPr="00EF3263" w:rsidRDefault="00344C47" w:rsidP="00344C47">
      <w:pPr>
        <w:ind w:firstLine="210"/>
        <w:rPr>
          <w:color w:val="000000" w:themeColor="text1"/>
        </w:rPr>
      </w:pPr>
      <w:r w:rsidRPr="00EF3263">
        <w:rPr>
          <w:rFonts w:hint="eastAsia"/>
          <w:color w:val="000000" w:themeColor="text1"/>
        </w:rPr>
        <w:t>本学会は、各種事業における成人矯正歯科学研究の成果発表などにおいて、一定の要件のもとに</w:t>
      </w:r>
      <w:r w:rsidRPr="00EF3263">
        <w:rPr>
          <w:rFonts w:hint="eastAsia"/>
          <w:color w:val="000000" w:themeColor="text1"/>
        </w:rPr>
        <w:t>COI</w:t>
      </w:r>
      <w:r w:rsidRPr="00EF3263">
        <w:rPr>
          <w:rFonts w:hint="eastAsia"/>
          <w:color w:val="000000" w:themeColor="text1"/>
        </w:rPr>
        <w:t>状態を開示させることにより、会員などの</w:t>
      </w:r>
      <w:r w:rsidRPr="00EF3263">
        <w:rPr>
          <w:rFonts w:hint="eastAsia"/>
          <w:color w:val="000000" w:themeColor="text1"/>
        </w:rPr>
        <w:t>COI</w:t>
      </w:r>
      <w:r w:rsidRPr="00EF3263">
        <w:rPr>
          <w:rFonts w:hint="eastAsia"/>
          <w:color w:val="000000" w:themeColor="text1"/>
        </w:rPr>
        <w:t>状態を適正に管理し、社会に対する説明責任を果たすため、本指針を策定するものである。</w:t>
      </w:r>
    </w:p>
    <w:p w14:paraId="55CD851C" w14:textId="77777777" w:rsidR="008B2BAD" w:rsidRPr="00EF3263" w:rsidRDefault="008B2BAD">
      <w:pPr>
        <w:rPr>
          <w:color w:val="000000" w:themeColor="text1"/>
        </w:rPr>
      </w:pPr>
    </w:p>
    <w:p w14:paraId="487853A5" w14:textId="77777777" w:rsidR="00237FC1" w:rsidRPr="00EF3263" w:rsidRDefault="00237FC1">
      <w:pPr>
        <w:rPr>
          <w:color w:val="000000" w:themeColor="text1"/>
        </w:rPr>
      </w:pPr>
    </w:p>
    <w:p w14:paraId="4B2DBDED" w14:textId="77777777" w:rsidR="00237FC1" w:rsidRPr="00EF3263" w:rsidRDefault="00237FC1">
      <w:pPr>
        <w:rPr>
          <w:color w:val="000000" w:themeColor="text1"/>
        </w:rPr>
      </w:pPr>
    </w:p>
    <w:p w14:paraId="34DC16E6" w14:textId="77777777" w:rsidR="008B2BAD" w:rsidRPr="00EF3263" w:rsidRDefault="008B2BAD" w:rsidP="008B2BAD">
      <w:pPr>
        <w:pStyle w:val="a3"/>
        <w:numPr>
          <w:ilvl w:val="0"/>
          <w:numId w:val="1"/>
        </w:numPr>
        <w:rPr>
          <w:b/>
          <w:color w:val="000000" w:themeColor="text1"/>
        </w:rPr>
      </w:pPr>
      <w:r w:rsidRPr="00EF3263">
        <w:rPr>
          <w:b/>
          <w:color w:val="000000" w:themeColor="text1"/>
        </w:rPr>
        <w:t xml:space="preserve">目的　</w:t>
      </w:r>
    </w:p>
    <w:p w14:paraId="7A673B4F" w14:textId="77777777" w:rsidR="008B2BAD" w:rsidRPr="00EF3263" w:rsidRDefault="008B2BAD" w:rsidP="00237FC1">
      <w:pPr>
        <w:ind w:firstLine="210"/>
        <w:rPr>
          <w:color w:val="000000" w:themeColor="text1"/>
        </w:rPr>
      </w:pPr>
      <w:r w:rsidRPr="00EF3263">
        <w:rPr>
          <w:color w:val="000000" w:themeColor="text1"/>
        </w:rPr>
        <w:t>本指針は、本学会会員などの</w:t>
      </w:r>
      <w:r w:rsidRPr="00EF3263">
        <w:rPr>
          <w:color w:val="000000" w:themeColor="text1"/>
        </w:rPr>
        <w:t>COI</w:t>
      </w:r>
      <w:r w:rsidRPr="00EF3263">
        <w:rPr>
          <w:color w:val="000000" w:themeColor="text1"/>
        </w:rPr>
        <w:t>状態を適正に管理することによって、成人矯正歯科学研究</w:t>
      </w:r>
      <w:r w:rsidR="00305A2E" w:rsidRPr="00EF3263">
        <w:rPr>
          <w:color w:val="000000" w:themeColor="text1"/>
        </w:rPr>
        <w:t>の</w:t>
      </w:r>
      <w:r w:rsidRPr="00EF3263">
        <w:rPr>
          <w:color w:val="000000" w:themeColor="text1"/>
        </w:rPr>
        <w:t>成果発表や、学術集会や刊行物における成果発表、成人矯正歯科学の普及・啓発などの事業活動における中立性と公正性の担保を目的とし、本学会会員などに対し利益相反についての基本的な考え方を示すものである。</w:t>
      </w:r>
      <w:r w:rsidRPr="00EF3263">
        <w:rPr>
          <w:rFonts w:hint="eastAsia"/>
          <w:color w:val="000000" w:themeColor="text1"/>
        </w:rPr>
        <w:t>本学会の各種事業において発表する場合、本指</w:t>
      </w:r>
      <w:r w:rsidRPr="00EF3263">
        <w:rPr>
          <w:rFonts w:hint="eastAsia"/>
          <w:color w:val="000000" w:themeColor="text1"/>
        </w:rPr>
        <w:lastRenderedPageBreak/>
        <w:t>針を遵守し、個人としての</w:t>
      </w:r>
      <w:r w:rsidRPr="00EF3263">
        <w:rPr>
          <w:rFonts w:hint="eastAsia"/>
          <w:color w:val="000000" w:themeColor="text1"/>
        </w:rPr>
        <w:t>COI</w:t>
      </w:r>
      <w:r w:rsidRPr="00EF3263">
        <w:rPr>
          <w:rFonts w:hint="eastAsia"/>
          <w:color w:val="000000" w:themeColor="text1"/>
        </w:rPr>
        <w:t>状態を自己申告によって適正に開示することを求めるものである。</w:t>
      </w:r>
    </w:p>
    <w:p w14:paraId="655B4A05" w14:textId="77777777" w:rsidR="00A27DF4" w:rsidRPr="00EF3263" w:rsidRDefault="00A27DF4" w:rsidP="008B2BAD">
      <w:pPr>
        <w:pStyle w:val="a3"/>
        <w:ind w:left="420"/>
        <w:rPr>
          <w:color w:val="000000" w:themeColor="text1"/>
        </w:rPr>
      </w:pPr>
    </w:p>
    <w:p w14:paraId="7A3399A0" w14:textId="77777777" w:rsidR="00A27DF4" w:rsidRPr="00EF3263" w:rsidRDefault="00A27DF4" w:rsidP="00A27DF4">
      <w:pPr>
        <w:pStyle w:val="a3"/>
        <w:numPr>
          <w:ilvl w:val="0"/>
          <w:numId w:val="1"/>
        </w:numPr>
        <w:rPr>
          <w:b/>
          <w:color w:val="000000" w:themeColor="text1"/>
        </w:rPr>
      </w:pPr>
      <w:r w:rsidRPr="00EF3263">
        <w:rPr>
          <w:b/>
          <w:color w:val="000000" w:themeColor="text1"/>
        </w:rPr>
        <w:t>COI</w:t>
      </w:r>
      <w:r w:rsidRPr="00EF3263">
        <w:rPr>
          <w:b/>
          <w:color w:val="000000" w:themeColor="text1"/>
        </w:rPr>
        <w:t>開示の必要性の対象者：</w:t>
      </w:r>
      <w:r w:rsidRPr="00EF3263">
        <w:rPr>
          <w:b/>
          <w:color w:val="000000" w:themeColor="text1"/>
        </w:rPr>
        <w:t>COI</w:t>
      </w:r>
      <w:r w:rsidRPr="00EF3263">
        <w:rPr>
          <w:b/>
          <w:color w:val="000000" w:themeColor="text1"/>
        </w:rPr>
        <w:t>マネージメントの対象者</w:t>
      </w:r>
    </w:p>
    <w:p w14:paraId="289979F9" w14:textId="77777777" w:rsidR="00A27DF4" w:rsidRPr="00EF3263" w:rsidRDefault="00A27DF4" w:rsidP="00237FC1">
      <w:pPr>
        <w:ind w:firstLine="210"/>
        <w:rPr>
          <w:color w:val="000000" w:themeColor="text1"/>
        </w:rPr>
      </w:pPr>
      <w:r w:rsidRPr="00EF3263">
        <w:rPr>
          <w:rFonts w:hint="eastAsia"/>
          <w:color w:val="000000" w:themeColor="text1"/>
        </w:rPr>
        <w:t>本指針は、</w:t>
      </w:r>
      <w:r w:rsidRPr="00EF3263">
        <w:rPr>
          <w:rFonts w:hint="eastAsia"/>
          <w:color w:val="000000" w:themeColor="text1"/>
        </w:rPr>
        <w:t>COI</w:t>
      </w:r>
      <w:r w:rsidRPr="00EF3263">
        <w:rPr>
          <w:rFonts w:hint="eastAsia"/>
          <w:color w:val="000000" w:themeColor="text1"/>
        </w:rPr>
        <w:t>状態が生じる可能性がある以下のもの（以下「対象者」という）に適用する。</w:t>
      </w:r>
    </w:p>
    <w:p w14:paraId="22E92033" w14:textId="77777777" w:rsidR="00A27DF4" w:rsidRPr="00EF3263" w:rsidRDefault="00A27DF4" w:rsidP="00A27DF4">
      <w:pPr>
        <w:pStyle w:val="a3"/>
        <w:numPr>
          <w:ilvl w:val="0"/>
          <w:numId w:val="3"/>
        </w:numPr>
        <w:rPr>
          <w:color w:val="000000" w:themeColor="text1"/>
        </w:rPr>
      </w:pPr>
      <w:r w:rsidRPr="00EF3263">
        <w:rPr>
          <w:color w:val="000000" w:themeColor="text1"/>
        </w:rPr>
        <w:t>本学会の正会員および準会員</w:t>
      </w:r>
    </w:p>
    <w:p w14:paraId="6484F6BA" w14:textId="77777777" w:rsidR="00A27DF4" w:rsidRPr="00EF3263" w:rsidRDefault="00A27DF4" w:rsidP="00A27DF4">
      <w:pPr>
        <w:pStyle w:val="a3"/>
        <w:numPr>
          <w:ilvl w:val="0"/>
          <w:numId w:val="3"/>
        </w:numPr>
        <w:rPr>
          <w:color w:val="000000" w:themeColor="text1"/>
        </w:rPr>
      </w:pPr>
      <w:r w:rsidRPr="00EF3263">
        <w:rPr>
          <w:rFonts w:hint="eastAsia"/>
          <w:color w:val="000000" w:themeColor="text1"/>
        </w:rPr>
        <w:t>本学会の学術集会や学会誌などで発表する会員および準会員</w:t>
      </w:r>
    </w:p>
    <w:p w14:paraId="5BFA323B" w14:textId="77777777" w:rsidR="00A27DF4" w:rsidRPr="00EF3263" w:rsidRDefault="00A27DF4" w:rsidP="00A27DF4">
      <w:pPr>
        <w:pStyle w:val="a3"/>
        <w:numPr>
          <w:ilvl w:val="0"/>
          <w:numId w:val="3"/>
        </w:numPr>
        <w:rPr>
          <w:color w:val="000000" w:themeColor="text1"/>
        </w:rPr>
      </w:pPr>
      <w:r w:rsidRPr="00EF3263">
        <w:rPr>
          <w:rFonts w:hint="eastAsia"/>
          <w:color w:val="000000" w:themeColor="text1"/>
        </w:rPr>
        <w:t>本学会の役員、学術大会大会長、各種常設委員会の委員長、特定の委員会の委員</w:t>
      </w:r>
    </w:p>
    <w:p w14:paraId="2865FA85" w14:textId="77777777" w:rsidR="00A27DF4" w:rsidRPr="00EF3263" w:rsidRDefault="00A27DF4" w:rsidP="00A27DF4">
      <w:pPr>
        <w:pStyle w:val="a3"/>
        <w:rPr>
          <w:color w:val="000000" w:themeColor="text1"/>
        </w:rPr>
      </w:pPr>
      <w:r w:rsidRPr="00EF3263">
        <w:rPr>
          <w:rFonts w:hint="eastAsia"/>
          <w:color w:val="000000" w:themeColor="text1"/>
        </w:rPr>
        <w:t>（</w:t>
      </w:r>
      <w:r w:rsidRPr="00EF3263">
        <w:rPr>
          <w:rFonts w:hint="eastAsia"/>
          <w:color w:val="000000" w:themeColor="text1"/>
        </w:rPr>
        <w:t>1</w:t>
      </w:r>
      <w:r w:rsidRPr="00EF3263">
        <w:rPr>
          <w:rFonts w:hint="eastAsia"/>
          <w:color w:val="000000" w:themeColor="text1"/>
        </w:rPr>
        <w:t>）～（</w:t>
      </w:r>
      <w:r w:rsidRPr="00EF3263">
        <w:rPr>
          <w:rFonts w:hint="eastAsia"/>
          <w:color w:val="000000" w:themeColor="text1"/>
        </w:rPr>
        <w:t>3</w:t>
      </w:r>
      <w:r w:rsidRPr="00EF3263">
        <w:rPr>
          <w:rFonts w:hint="eastAsia"/>
          <w:color w:val="000000" w:themeColor="text1"/>
        </w:rPr>
        <w:t>）の対象者の配偶者、一親等の親族、または収入・財産を共有する者</w:t>
      </w:r>
    </w:p>
    <w:p w14:paraId="6B48882C" w14:textId="77777777" w:rsidR="004357DB" w:rsidRPr="00EF3263" w:rsidRDefault="004357DB" w:rsidP="00A27DF4">
      <w:pPr>
        <w:pStyle w:val="a3"/>
        <w:rPr>
          <w:color w:val="000000" w:themeColor="text1"/>
        </w:rPr>
      </w:pPr>
    </w:p>
    <w:p w14:paraId="589CE13D" w14:textId="77777777" w:rsidR="00A27DF4" w:rsidRPr="00EF3263" w:rsidRDefault="00A27DF4" w:rsidP="00A27DF4">
      <w:pPr>
        <w:pStyle w:val="a3"/>
        <w:numPr>
          <w:ilvl w:val="0"/>
          <w:numId w:val="1"/>
        </w:numPr>
        <w:rPr>
          <w:b/>
          <w:color w:val="000000" w:themeColor="text1"/>
        </w:rPr>
      </w:pPr>
      <w:r w:rsidRPr="00EF3263">
        <w:rPr>
          <w:b/>
          <w:color w:val="000000" w:themeColor="text1"/>
        </w:rPr>
        <w:t>企業・法人組織、営利を目的とする団体との産学連携活動</w:t>
      </w:r>
    </w:p>
    <w:p w14:paraId="1579D8AC" w14:textId="77777777" w:rsidR="00A27DF4" w:rsidRPr="00EF3263" w:rsidRDefault="00A27DF4" w:rsidP="00237FC1">
      <w:pPr>
        <w:ind w:firstLine="210"/>
        <w:rPr>
          <w:color w:val="000000" w:themeColor="text1"/>
        </w:rPr>
      </w:pPr>
      <w:r w:rsidRPr="00EF3263">
        <w:rPr>
          <w:rFonts w:hint="eastAsia"/>
          <w:color w:val="000000" w:themeColor="text1"/>
        </w:rPr>
        <w:t>本学会</w:t>
      </w:r>
      <w:r w:rsidR="003C2728" w:rsidRPr="00EF3263">
        <w:rPr>
          <w:rFonts w:hint="eastAsia"/>
          <w:color w:val="000000" w:themeColor="text1"/>
        </w:rPr>
        <w:t>会員個人あるいは会員が所属する大学・研究機関・医療施設が、企業・法人組織や営利を目的とする団体（以下「企業組織や団体」という。）と行う産学連携（以下に示す）には、次のような活動が含まれ、</w:t>
      </w:r>
      <w:r w:rsidR="003C2728" w:rsidRPr="00EF3263">
        <w:rPr>
          <w:rFonts w:hint="eastAsia"/>
          <w:color w:val="000000" w:themeColor="text1"/>
        </w:rPr>
        <w:t>COI</w:t>
      </w:r>
      <w:r w:rsidR="003C2728" w:rsidRPr="00EF3263">
        <w:rPr>
          <w:rFonts w:hint="eastAsia"/>
          <w:color w:val="000000" w:themeColor="text1"/>
        </w:rPr>
        <w:t>申告の対象となる。</w:t>
      </w:r>
    </w:p>
    <w:p w14:paraId="3C1B7E15" w14:textId="77777777" w:rsidR="00151782" w:rsidRPr="00EF3263" w:rsidRDefault="003C2728" w:rsidP="003C2728">
      <w:pPr>
        <w:pStyle w:val="a3"/>
        <w:numPr>
          <w:ilvl w:val="0"/>
          <w:numId w:val="4"/>
        </w:numPr>
        <w:rPr>
          <w:color w:val="000000" w:themeColor="text1"/>
        </w:rPr>
      </w:pPr>
      <w:r w:rsidRPr="00EF3263">
        <w:rPr>
          <w:color w:val="000000" w:themeColor="text1"/>
        </w:rPr>
        <w:t>共同研究：企業・組織や団体と研究費、研究者を分担して実施する研究（有償・無償を問わない</w:t>
      </w:r>
      <w:r w:rsidR="00151782" w:rsidRPr="00EF3263">
        <w:rPr>
          <w:rFonts w:hint="eastAsia"/>
          <w:color w:val="000000" w:themeColor="text1"/>
        </w:rPr>
        <w:t>）</w:t>
      </w:r>
      <w:r w:rsidRPr="00EF3263">
        <w:rPr>
          <w:color w:val="000000" w:themeColor="text1"/>
        </w:rPr>
        <w:t>が、有償の場合、贈与される研究費を共同研究費とよびそのほかの研究費と区別する。</w:t>
      </w:r>
    </w:p>
    <w:p w14:paraId="2B632C94" w14:textId="0FF16E27" w:rsidR="003C2728" w:rsidRPr="00EF3263" w:rsidRDefault="003C2728" w:rsidP="003C2728">
      <w:pPr>
        <w:pStyle w:val="a3"/>
        <w:numPr>
          <w:ilvl w:val="0"/>
          <w:numId w:val="4"/>
        </w:numPr>
        <w:rPr>
          <w:color w:val="000000" w:themeColor="text1"/>
        </w:rPr>
      </w:pPr>
      <w:r w:rsidRPr="00EF3263">
        <w:rPr>
          <w:rFonts w:hint="eastAsia"/>
          <w:color w:val="000000" w:themeColor="text1"/>
        </w:rPr>
        <w:t>受託研究：企業・組織や団体との契約による治療法・薬剤・機器などに関連する研究</w:t>
      </w:r>
    </w:p>
    <w:p w14:paraId="16B1F2F9" w14:textId="77777777" w:rsidR="003C2728" w:rsidRPr="00EF3263" w:rsidRDefault="003C2728" w:rsidP="003C2728">
      <w:pPr>
        <w:pStyle w:val="a3"/>
        <w:numPr>
          <w:ilvl w:val="0"/>
          <w:numId w:val="4"/>
        </w:numPr>
        <w:rPr>
          <w:color w:val="000000" w:themeColor="text1"/>
        </w:rPr>
      </w:pPr>
      <w:r w:rsidRPr="00EF3263">
        <w:rPr>
          <w:rFonts w:hint="eastAsia"/>
          <w:color w:val="000000" w:themeColor="text1"/>
        </w:rPr>
        <w:t>技術移転：大学の研究機関の研究成果を</w:t>
      </w:r>
      <w:r w:rsidR="006A4254" w:rsidRPr="00EF3263">
        <w:rPr>
          <w:rFonts w:hint="eastAsia"/>
          <w:color w:val="000000" w:themeColor="text1"/>
        </w:rPr>
        <w:t>、</w:t>
      </w:r>
      <w:r w:rsidRPr="00EF3263">
        <w:rPr>
          <w:rFonts w:hint="eastAsia"/>
          <w:color w:val="000000" w:themeColor="text1"/>
        </w:rPr>
        <w:t>特許権の権利を利用し企業</w:t>
      </w:r>
      <w:r w:rsidR="006A4254" w:rsidRPr="00EF3263">
        <w:rPr>
          <w:rFonts w:hint="eastAsia"/>
          <w:color w:val="000000" w:themeColor="text1"/>
        </w:rPr>
        <w:t>で</w:t>
      </w:r>
      <w:r w:rsidRPr="00EF3263">
        <w:rPr>
          <w:rFonts w:hint="eastAsia"/>
          <w:color w:val="000000" w:themeColor="text1"/>
        </w:rPr>
        <w:t>実用化</w:t>
      </w:r>
    </w:p>
    <w:p w14:paraId="43C2FFB1" w14:textId="77777777" w:rsidR="003C2728" w:rsidRPr="00EF3263" w:rsidRDefault="003C2728" w:rsidP="003C2728">
      <w:pPr>
        <w:pStyle w:val="a3"/>
        <w:numPr>
          <w:ilvl w:val="0"/>
          <w:numId w:val="4"/>
        </w:numPr>
        <w:rPr>
          <w:color w:val="000000" w:themeColor="text1"/>
        </w:rPr>
      </w:pPr>
      <w:r w:rsidRPr="00EF3263">
        <w:rPr>
          <w:rFonts w:hint="eastAsia"/>
          <w:color w:val="000000" w:themeColor="text1"/>
        </w:rPr>
        <w:t>技術指導：大学・研究機関の研究者などが</w:t>
      </w:r>
      <w:r w:rsidR="006A4254" w:rsidRPr="00EF3263">
        <w:rPr>
          <w:rFonts w:hint="eastAsia"/>
          <w:color w:val="000000" w:themeColor="text1"/>
        </w:rPr>
        <w:t>主体となり、</w:t>
      </w:r>
      <w:r w:rsidRPr="00EF3263">
        <w:rPr>
          <w:rFonts w:hint="eastAsia"/>
          <w:color w:val="000000" w:themeColor="text1"/>
        </w:rPr>
        <w:t>企業</w:t>
      </w:r>
      <w:r w:rsidR="006A4254" w:rsidRPr="00EF3263">
        <w:rPr>
          <w:rFonts w:hint="eastAsia"/>
          <w:color w:val="000000" w:themeColor="text1"/>
        </w:rPr>
        <w:t>で</w:t>
      </w:r>
      <w:r w:rsidRPr="00EF3263">
        <w:rPr>
          <w:rFonts w:hint="eastAsia"/>
          <w:color w:val="000000" w:themeColor="text1"/>
        </w:rPr>
        <w:t>の研究開発・技術指導を実施</w:t>
      </w:r>
    </w:p>
    <w:p w14:paraId="2AD7FCD9" w14:textId="77777777" w:rsidR="003C2728" w:rsidRPr="00EF3263" w:rsidRDefault="003C2728" w:rsidP="003C2728">
      <w:pPr>
        <w:pStyle w:val="a3"/>
        <w:numPr>
          <w:ilvl w:val="0"/>
          <w:numId w:val="4"/>
        </w:numPr>
        <w:rPr>
          <w:color w:val="000000" w:themeColor="text1"/>
        </w:rPr>
      </w:pPr>
      <w:r w:rsidRPr="00EF3263">
        <w:rPr>
          <w:rFonts w:hint="eastAsia"/>
          <w:color w:val="000000" w:themeColor="text1"/>
        </w:rPr>
        <w:t>大学・研究機関による</w:t>
      </w:r>
      <w:r w:rsidR="006A4254" w:rsidRPr="00EF3263">
        <w:rPr>
          <w:rFonts w:hint="eastAsia"/>
          <w:color w:val="000000" w:themeColor="text1"/>
        </w:rPr>
        <w:t>創業</w:t>
      </w:r>
      <w:r w:rsidRPr="00EF3263">
        <w:rPr>
          <w:rFonts w:hint="eastAsia"/>
          <w:color w:val="000000" w:themeColor="text1"/>
        </w:rPr>
        <w:t>：大学・研究機関の研究成果を基に企業</w:t>
      </w:r>
      <w:r w:rsidR="006A4254" w:rsidRPr="00EF3263">
        <w:rPr>
          <w:rFonts w:hint="eastAsia"/>
          <w:color w:val="000000" w:themeColor="text1"/>
        </w:rPr>
        <w:t>を</w:t>
      </w:r>
      <w:r w:rsidRPr="00EF3263">
        <w:rPr>
          <w:rFonts w:hint="eastAsia"/>
          <w:color w:val="000000" w:themeColor="text1"/>
        </w:rPr>
        <w:t>設立</w:t>
      </w:r>
    </w:p>
    <w:p w14:paraId="3B0BD89D" w14:textId="77777777" w:rsidR="003C2728" w:rsidRPr="00EF3263" w:rsidRDefault="003C2728" w:rsidP="003C2728">
      <w:pPr>
        <w:pStyle w:val="a3"/>
        <w:numPr>
          <w:ilvl w:val="0"/>
          <w:numId w:val="4"/>
        </w:numPr>
        <w:rPr>
          <w:color w:val="000000" w:themeColor="text1"/>
        </w:rPr>
      </w:pPr>
      <w:r w:rsidRPr="00EF3263">
        <w:rPr>
          <w:rFonts w:hint="eastAsia"/>
          <w:color w:val="000000" w:themeColor="text1"/>
        </w:rPr>
        <w:t>寄附金：企業・組織や団体から大学への研究機関への「使用制限」を設けない研究助成寄附金（但し、医薬品・医療・介護機器、医療介護技術、教育用機器などを評価・検証する歯科医学研究などを行う資金はこれに該当しない。上記の（</w:t>
      </w:r>
      <w:r w:rsidRPr="00EF3263">
        <w:rPr>
          <w:rFonts w:hint="eastAsia"/>
          <w:color w:val="000000" w:themeColor="text1"/>
        </w:rPr>
        <w:t>1</w:t>
      </w:r>
      <w:r w:rsidRPr="00EF3263">
        <w:rPr>
          <w:rFonts w:hint="eastAsia"/>
          <w:color w:val="000000" w:themeColor="text1"/>
        </w:rPr>
        <w:t>）共同研究費、（</w:t>
      </w:r>
      <w:r w:rsidRPr="00EF3263">
        <w:rPr>
          <w:rFonts w:hint="eastAsia"/>
          <w:color w:val="000000" w:themeColor="text1"/>
        </w:rPr>
        <w:t>2</w:t>
      </w:r>
      <w:r w:rsidRPr="00EF3263">
        <w:rPr>
          <w:rFonts w:hint="eastAsia"/>
          <w:color w:val="000000" w:themeColor="text1"/>
        </w:rPr>
        <w:t>）受託研究費のいずれかに相当する。）</w:t>
      </w:r>
    </w:p>
    <w:p w14:paraId="5081D953" w14:textId="77777777" w:rsidR="003C2728" w:rsidRPr="00EF3263" w:rsidRDefault="003C2728" w:rsidP="003C2728">
      <w:pPr>
        <w:pStyle w:val="a3"/>
        <w:numPr>
          <w:ilvl w:val="0"/>
          <w:numId w:val="4"/>
        </w:numPr>
        <w:rPr>
          <w:color w:val="000000" w:themeColor="text1"/>
        </w:rPr>
      </w:pPr>
      <w:r w:rsidRPr="00EF3263">
        <w:rPr>
          <w:rFonts w:hint="eastAsia"/>
          <w:color w:val="000000" w:themeColor="text1"/>
        </w:rPr>
        <w:t>寄附講座：企業・組織や団体から大学への寄附金による研究推進のための講座</w:t>
      </w:r>
      <w:r w:rsidR="006A4254" w:rsidRPr="00EF3263">
        <w:rPr>
          <w:rFonts w:hint="eastAsia"/>
          <w:color w:val="000000" w:themeColor="text1"/>
        </w:rPr>
        <w:t>の設置</w:t>
      </w:r>
    </w:p>
    <w:p w14:paraId="207B1A46" w14:textId="0EE66DB3" w:rsidR="00573FF8" w:rsidRPr="00EF3263" w:rsidRDefault="00573FF8" w:rsidP="003C2728">
      <w:pPr>
        <w:pStyle w:val="a3"/>
        <w:numPr>
          <w:ilvl w:val="0"/>
          <w:numId w:val="4"/>
        </w:numPr>
        <w:rPr>
          <w:color w:val="000000" w:themeColor="text1"/>
        </w:rPr>
      </w:pPr>
      <w:r w:rsidRPr="00EF3263">
        <w:rPr>
          <w:rFonts w:hint="eastAsia"/>
          <w:color w:val="000000" w:themeColor="text1"/>
        </w:rPr>
        <w:t>本学会の定める</w:t>
      </w:r>
      <w:r w:rsidR="00F86C75" w:rsidRPr="00EF3263">
        <w:rPr>
          <w:rFonts w:hint="eastAsia"/>
          <w:color w:val="000000" w:themeColor="text1"/>
        </w:rPr>
        <w:t>所による</w:t>
      </w:r>
      <w:r w:rsidR="00151782" w:rsidRPr="00EF3263">
        <w:rPr>
          <w:rFonts w:hint="eastAsia"/>
          <w:color w:val="000000" w:themeColor="text1"/>
        </w:rPr>
        <w:t>日本成人矯正歯科学会</w:t>
      </w:r>
      <w:r w:rsidRPr="00EF3263">
        <w:rPr>
          <w:rFonts w:hint="eastAsia"/>
          <w:color w:val="000000" w:themeColor="text1"/>
        </w:rPr>
        <w:t>科学研究助成金</w:t>
      </w:r>
      <w:r w:rsidR="00F86C75" w:rsidRPr="00EF3263">
        <w:rPr>
          <w:rFonts w:hint="eastAsia"/>
          <w:color w:val="000000" w:themeColor="text1"/>
        </w:rPr>
        <w:t>、</w:t>
      </w:r>
      <w:r w:rsidRPr="00EF3263">
        <w:rPr>
          <w:rFonts w:hint="eastAsia"/>
          <w:color w:val="000000" w:themeColor="text1"/>
        </w:rPr>
        <w:t>および本学会の定める</w:t>
      </w:r>
      <w:r w:rsidR="00151782" w:rsidRPr="00EF3263">
        <w:rPr>
          <w:rFonts w:hint="eastAsia"/>
          <w:color w:val="000000" w:themeColor="text1"/>
        </w:rPr>
        <w:t>日本成人矯正歯科学会</w:t>
      </w:r>
      <w:r w:rsidRPr="00EF3263">
        <w:rPr>
          <w:rFonts w:hint="eastAsia"/>
          <w:color w:val="000000" w:themeColor="text1"/>
        </w:rPr>
        <w:t>委託研究に関わる補助金による研究</w:t>
      </w:r>
    </w:p>
    <w:p w14:paraId="2DABB018" w14:textId="77777777" w:rsidR="004357DB" w:rsidRPr="00EF3263" w:rsidRDefault="004357DB" w:rsidP="004357DB">
      <w:pPr>
        <w:pStyle w:val="a3"/>
        <w:rPr>
          <w:color w:val="000000" w:themeColor="text1"/>
        </w:rPr>
      </w:pPr>
    </w:p>
    <w:p w14:paraId="2E8F5931" w14:textId="77777777" w:rsidR="003C2728" w:rsidRPr="00EF3263" w:rsidRDefault="003C2728" w:rsidP="003C2728">
      <w:pPr>
        <w:pStyle w:val="a3"/>
        <w:numPr>
          <w:ilvl w:val="0"/>
          <w:numId w:val="1"/>
        </w:numPr>
        <w:rPr>
          <w:b/>
          <w:color w:val="000000" w:themeColor="text1"/>
        </w:rPr>
      </w:pPr>
      <w:r w:rsidRPr="00EF3263">
        <w:rPr>
          <w:b/>
          <w:color w:val="000000" w:themeColor="text1"/>
        </w:rPr>
        <w:t>対象となる事業活動</w:t>
      </w:r>
    </w:p>
    <w:p w14:paraId="4C5D89C9" w14:textId="59D16DFD" w:rsidR="003C2728" w:rsidRPr="00EF3263" w:rsidRDefault="003C2728" w:rsidP="003C2728">
      <w:pPr>
        <w:pStyle w:val="a3"/>
        <w:ind w:left="420"/>
        <w:rPr>
          <w:color w:val="000000" w:themeColor="text1"/>
        </w:rPr>
      </w:pPr>
      <w:r w:rsidRPr="00EF3263">
        <w:rPr>
          <w:rFonts w:hint="eastAsia"/>
          <w:color w:val="000000" w:themeColor="text1"/>
        </w:rPr>
        <w:t>本指針は本学会</w:t>
      </w:r>
      <w:r w:rsidR="006A4254" w:rsidRPr="00EF3263">
        <w:rPr>
          <w:rFonts w:hint="eastAsia"/>
          <w:color w:val="000000" w:themeColor="text1"/>
        </w:rPr>
        <w:t>定款</w:t>
      </w:r>
      <w:r w:rsidRPr="00EF3263">
        <w:rPr>
          <w:rFonts w:hint="eastAsia"/>
          <w:color w:val="000000" w:themeColor="text1"/>
        </w:rPr>
        <w:t>第</w:t>
      </w:r>
      <w:r w:rsidR="00151782" w:rsidRPr="00EF3263">
        <w:rPr>
          <w:rFonts w:hint="eastAsia"/>
          <w:color w:val="000000" w:themeColor="text1"/>
        </w:rPr>
        <w:t>2</w:t>
      </w:r>
      <w:r w:rsidR="00151782" w:rsidRPr="00EF3263">
        <w:rPr>
          <w:rFonts w:hint="eastAsia"/>
          <w:color w:val="000000" w:themeColor="text1"/>
        </w:rPr>
        <w:t>章</w:t>
      </w:r>
      <w:r w:rsidR="00105F95" w:rsidRPr="00EF3263">
        <w:rPr>
          <w:rFonts w:hint="eastAsia"/>
          <w:color w:val="000000" w:themeColor="text1"/>
        </w:rPr>
        <w:t>第</w:t>
      </w:r>
      <w:r w:rsidR="00105F95" w:rsidRPr="00EF3263">
        <w:rPr>
          <w:rFonts w:hint="eastAsia"/>
          <w:color w:val="000000" w:themeColor="text1"/>
        </w:rPr>
        <w:t>5</w:t>
      </w:r>
      <w:r w:rsidR="00105F95" w:rsidRPr="00EF3263">
        <w:rPr>
          <w:rFonts w:hint="eastAsia"/>
          <w:color w:val="000000" w:themeColor="text1"/>
        </w:rPr>
        <w:t>条</w:t>
      </w:r>
      <w:r w:rsidRPr="00EF3263">
        <w:rPr>
          <w:rFonts w:hint="eastAsia"/>
          <w:color w:val="000000" w:themeColor="text1"/>
        </w:rPr>
        <w:t>に定める下記の事業活動に対し適用する。</w:t>
      </w:r>
    </w:p>
    <w:p w14:paraId="3D706937" w14:textId="77777777" w:rsidR="00071C02" w:rsidRPr="00EF3263" w:rsidRDefault="00071C02" w:rsidP="00071C02">
      <w:pPr>
        <w:ind w:left="420"/>
        <w:rPr>
          <w:color w:val="000000" w:themeColor="text1"/>
        </w:rPr>
      </w:pPr>
      <w:r w:rsidRPr="00EF3263">
        <w:rPr>
          <w:rFonts w:hint="eastAsia"/>
          <w:color w:val="000000" w:themeColor="text1"/>
        </w:rPr>
        <w:t>(1)</w:t>
      </w:r>
      <w:r w:rsidRPr="00EF3263">
        <w:rPr>
          <w:rFonts w:hint="eastAsia"/>
          <w:color w:val="000000" w:themeColor="text1"/>
        </w:rPr>
        <w:t>歯科矯正学並びに成人の矯正歯科治療に関する学術集会の開催</w:t>
      </w:r>
      <w:r w:rsidRPr="00EF3263">
        <w:rPr>
          <w:rFonts w:hint="eastAsia"/>
          <w:color w:val="000000" w:themeColor="text1"/>
        </w:rPr>
        <w:t xml:space="preserve"> </w:t>
      </w:r>
    </w:p>
    <w:p w14:paraId="1C8129CA" w14:textId="77777777" w:rsidR="00071C02" w:rsidRPr="00EF3263" w:rsidRDefault="00071C02" w:rsidP="00071C02">
      <w:pPr>
        <w:ind w:left="420"/>
        <w:rPr>
          <w:color w:val="000000" w:themeColor="text1"/>
        </w:rPr>
      </w:pPr>
      <w:r w:rsidRPr="00EF3263">
        <w:rPr>
          <w:rFonts w:hint="eastAsia"/>
          <w:color w:val="000000" w:themeColor="text1"/>
        </w:rPr>
        <w:lastRenderedPageBreak/>
        <w:t xml:space="preserve">(2) </w:t>
      </w:r>
      <w:r w:rsidRPr="00EF3263">
        <w:rPr>
          <w:rFonts w:hint="eastAsia"/>
          <w:color w:val="000000" w:themeColor="text1"/>
        </w:rPr>
        <w:t>機関紙及び歯科矯正学並びに成人の矯正歯科治療に関連する書籍の発行</w:t>
      </w:r>
    </w:p>
    <w:p w14:paraId="222CF6D0" w14:textId="77777777" w:rsidR="00071C02" w:rsidRPr="00EF3263" w:rsidRDefault="00071C02" w:rsidP="00071C02">
      <w:pPr>
        <w:ind w:left="420"/>
        <w:rPr>
          <w:color w:val="000000" w:themeColor="text1"/>
        </w:rPr>
      </w:pPr>
      <w:r w:rsidRPr="00EF3263">
        <w:rPr>
          <w:rFonts w:hint="eastAsia"/>
          <w:color w:val="000000" w:themeColor="text1"/>
        </w:rPr>
        <w:t xml:space="preserve">(3) </w:t>
      </w:r>
      <w:r w:rsidRPr="00EF3263">
        <w:rPr>
          <w:rFonts w:hint="eastAsia"/>
          <w:color w:val="000000" w:themeColor="text1"/>
        </w:rPr>
        <w:t>ウェブページによる国民に対する歯科矯正学並びに成人の矯正歯科治療に関する啓蒙、情報提供活動</w:t>
      </w:r>
      <w:r w:rsidRPr="00EF3263">
        <w:rPr>
          <w:rFonts w:hint="eastAsia"/>
          <w:color w:val="000000" w:themeColor="text1"/>
        </w:rPr>
        <w:t xml:space="preserve"> </w:t>
      </w:r>
    </w:p>
    <w:p w14:paraId="32054788" w14:textId="77777777" w:rsidR="00071C02" w:rsidRPr="00EF3263" w:rsidRDefault="00071C02" w:rsidP="00071C02">
      <w:pPr>
        <w:ind w:left="420"/>
        <w:rPr>
          <w:color w:val="000000" w:themeColor="text1"/>
        </w:rPr>
      </w:pPr>
      <w:r w:rsidRPr="00EF3263">
        <w:rPr>
          <w:rFonts w:hint="eastAsia"/>
          <w:color w:val="000000" w:themeColor="text1"/>
        </w:rPr>
        <w:t xml:space="preserve">(4) </w:t>
      </w:r>
      <w:r w:rsidRPr="00EF3263">
        <w:rPr>
          <w:rFonts w:hint="eastAsia"/>
          <w:color w:val="000000" w:themeColor="text1"/>
        </w:rPr>
        <w:t>講習会、セミナー、公開講座等、国民に対する歯科矯正学並びに成人の矯正歯科治療に関する啓蒙、情報提供を目的としたイベントの開催</w:t>
      </w:r>
    </w:p>
    <w:p w14:paraId="0F95E834" w14:textId="77777777" w:rsidR="00071C02" w:rsidRPr="00EF3263" w:rsidRDefault="00071C02" w:rsidP="00071C02">
      <w:pPr>
        <w:ind w:left="420"/>
        <w:rPr>
          <w:color w:val="000000" w:themeColor="text1"/>
        </w:rPr>
      </w:pPr>
      <w:r w:rsidRPr="00EF3263">
        <w:rPr>
          <w:rFonts w:hint="eastAsia"/>
          <w:color w:val="000000" w:themeColor="text1"/>
        </w:rPr>
        <w:t xml:space="preserve">(5) </w:t>
      </w:r>
      <w:r w:rsidRPr="00EF3263">
        <w:rPr>
          <w:rFonts w:hint="eastAsia"/>
          <w:color w:val="000000" w:themeColor="text1"/>
        </w:rPr>
        <w:t>矯正歯科治療に関する認定医、指導医、専門医等を認定する活動</w:t>
      </w:r>
      <w:r w:rsidRPr="00EF3263">
        <w:rPr>
          <w:rFonts w:hint="eastAsia"/>
          <w:color w:val="000000" w:themeColor="text1"/>
        </w:rPr>
        <w:t xml:space="preserve"> </w:t>
      </w:r>
    </w:p>
    <w:p w14:paraId="795DE5AF" w14:textId="04F9C46C" w:rsidR="00071C02" w:rsidRPr="00EF3263" w:rsidRDefault="00071C02" w:rsidP="00071C02">
      <w:pPr>
        <w:ind w:left="420"/>
        <w:rPr>
          <w:color w:val="000000" w:themeColor="text1"/>
        </w:rPr>
      </w:pPr>
      <w:r w:rsidRPr="00EF3263">
        <w:rPr>
          <w:rFonts w:hint="eastAsia"/>
          <w:color w:val="000000" w:themeColor="text1"/>
        </w:rPr>
        <w:t xml:space="preserve">(6) </w:t>
      </w:r>
      <w:r w:rsidRPr="00EF3263">
        <w:rPr>
          <w:rFonts w:hint="eastAsia"/>
          <w:color w:val="000000" w:themeColor="text1"/>
        </w:rPr>
        <w:t>その他この法人の目的達成のために必要な活動</w:t>
      </w:r>
    </w:p>
    <w:p w14:paraId="29DBBE77" w14:textId="77777777" w:rsidR="004357DB" w:rsidRPr="00EF3263" w:rsidRDefault="004357DB" w:rsidP="004357DB">
      <w:pPr>
        <w:ind w:left="420"/>
        <w:rPr>
          <w:color w:val="000000" w:themeColor="text1"/>
        </w:rPr>
      </w:pPr>
      <w:r w:rsidRPr="00EF3263">
        <w:rPr>
          <w:rFonts w:hint="eastAsia"/>
          <w:color w:val="000000" w:themeColor="text1"/>
        </w:rPr>
        <w:t>特に下記の活動を行う場合には、特段の本指針遵守が求められる。</w:t>
      </w:r>
    </w:p>
    <w:p w14:paraId="6E269E24" w14:textId="77777777" w:rsidR="004357DB" w:rsidRPr="00EF3263" w:rsidRDefault="004357DB" w:rsidP="004357DB">
      <w:pPr>
        <w:pStyle w:val="a3"/>
        <w:numPr>
          <w:ilvl w:val="0"/>
          <w:numId w:val="6"/>
        </w:numPr>
        <w:rPr>
          <w:color w:val="000000" w:themeColor="text1"/>
        </w:rPr>
      </w:pPr>
      <w:r w:rsidRPr="00EF3263">
        <w:rPr>
          <w:rFonts w:hint="eastAsia"/>
          <w:color w:val="000000" w:themeColor="text1"/>
        </w:rPr>
        <w:t>本学会が主催する学術大会での発表</w:t>
      </w:r>
    </w:p>
    <w:p w14:paraId="5A8DACC9" w14:textId="77777777" w:rsidR="004357DB" w:rsidRPr="00EF3263" w:rsidRDefault="004357DB" w:rsidP="004357DB">
      <w:pPr>
        <w:pStyle w:val="a3"/>
        <w:numPr>
          <w:ilvl w:val="0"/>
          <w:numId w:val="6"/>
        </w:numPr>
        <w:rPr>
          <w:color w:val="000000" w:themeColor="text1"/>
        </w:rPr>
      </w:pPr>
      <w:r w:rsidRPr="00EF3263">
        <w:rPr>
          <w:rFonts w:hint="eastAsia"/>
          <w:color w:val="000000" w:themeColor="text1"/>
        </w:rPr>
        <w:t>本学会機関誌の刊行物での発表</w:t>
      </w:r>
    </w:p>
    <w:p w14:paraId="5F02F6E7" w14:textId="77777777" w:rsidR="004357DB" w:rsidRPr="00EF3263" w:rsidRDefault="004357DB" w:rsidP="004357DB">
      <w:pPr>
        <w:pStyle w:val="a3"/>
        <w:numPr>
          <w:ilvl w:val="0"/>
          <w:numId w:val="6"/>
        </w:numPr>
        <w:rPr>
          <w:color w:val="000000" w:themeColor="text1"/>
        </w:rPr>
      </w:pPr>
      <w:r w:rsidRPr="00EF3263">
        <w:rPr>
          <w:rFonts w:hint="eastAsia"/>
          <w:color w:val="000000" w:themeColor="text1"/>
        </w:rPr>
        <w:t>臨時に設置される調査委員会、諮問委員会などでの作業</w:t>
      </w:r>
    </w:p>
    <w:p w14:paraId="0FC6F17C" w14:textId="77777777" w:rsidR="004357DB" w:rsidRPr="00EF3263" w:rsidRDefault="004357DB" w:rsidP="004357DB">
      <w:pPr>
        <w:pStyle w:val="a3"/>
        <w:rPr>
          <w:color w:val="000000" w:themeColor="text1"/>
        </w:rPr>
      </w:pPr>
    </w:p>
    <w:p w14:paraId="5E2AD54C" w14:textId="77777777" w:rsidR="004357DB" w:rsidRPr="00EF3263" w:rsidRDefault="004357DB" w:rsidP="004357DB">
      <w:pPr>
        <w:pStyle w:val="a3"/>
        <w:numPr>
          <w:ilvl w:val="0"/>
          <w:numId w:val="1"/>
        </w:numPr>
        <w:rPr>
          <w:b/>
          <w:color w:val="000000" w:themeColor="text1"/>
        </w:rPr>
      </w:pPr>
      <w:r w:rsidRPr="00EF3263">
        <w:rPr>
          <w:b/>
          <w:color w:val="000000" w:themeColor="text1"/>
        </w:rPr>
        <w:t>申告すべき事項</w:t>
      </w:r>
    </w:p>
    <w:p w14:paraId="2C45A7BE" w14:textId="05B68E8B" w:rsidR="004357DB" w:rsidRPr="00EF3263" w:rsidRDefault="004357DB" w:rsidP="001F4688">
      <w:pPr>
        <w:ind w:firstLine="210"/>
        <w:rPr>
          <w:color w:val="000000" w:themeColor="text1"/>
        </w:rPr>
      </w:pPr>
      <w:r w:rsidRPr="00EF3263">
        <w:rPr>
          <w:rFonts w:hint="eastAsia"/>
          <w:color w:val="000000" w:themeColor="text1"/>
        </w:rPr>
        <w:t>対象者は、成人矯正歯科学に関わる企業・組織や団体との経済的な関係について以下の（</w:t>
      </w:r>
      <w:r w:rsidRPr="00EF3263">
        <w:rPr>
          <w:rFonts w:hint="eastAsia"/>
          <w:color w:val="000000" w:themeColor="text1"/>
        </w:rPr>
        <w:t>1</w:t>
      </w:r>
      <w:r w:rsidRPr="00EF3263">
        <w:rPr>
          <w:rFonts w:hint="eastAsia"/>
          <w:color w:val="000000" w:themeColor="text1"/>
        </w:rPr>
        <w:t>）</w:t>
      </w:r>
      <w:r w:rsidR="00EF3263" w:rsidRPr="00EF3263">
        <w:rPr>
          <w:rFonts w:hint="eastAsia"/>
          <w:color w:val="000000" w:themeColor="text1"/>
        </w:rPr>
        <w:t>-</w:t>
      </w:r>
      <w:r w:rsidRPr="00EF3263">
        <w:rPr>
          <w:rFonts w:hint="eastAsia"/>
          <w:color w:val="000000" w:themeColor="text1"/>
        </w:rPr>
        <w:t>（</w:t>
      </w:r>
      <w:r w:rsidRPr="00EF3263">
        <w:rPr>
          <w:rFonts w:hint="eastAsia"/>
          <w:color w:val="000000" w:themeColor="text1"/>
        </w:rPr>
        <w:t>8</w:t>
      </w:r>
      <w:r w:rsidRPr="00EF3263">
        <w:rPr>
          <w:rFonts w:hint="eastAsia"/>
          <w:color w:val="000000" w:themeColor="text1"/>
        </w:rPr>
        <w:t>）の事項において本指針の細則に定める基準を超える場合には、所定の書式に従い利益相反の状況を本学会理事長に自己申告するものである。</w:t>
      </w:r>
    </w:p>
    <w:p w14:paraId="1C85BE0D" w14:textId="77777777" w:rsidR="007076A0" w:rsidRPr="00EF3263" w:rsidRDefault="007076A0" w:rsidP="001F4688">
      <w:pPr>
        <w:ind w:firstLine="210"/>
        <w:rPr>
          <w:color w:val="000000" w:themeColor="text1"/>
        </w:rPr>
      </w:pPr>
    </w:p>
    <w:p w14:paraId="0740E36B" w14:textId="77777777" w:rsidR="004357DB" w:rsidRPr="00EF3263" w:rsidRDefault="00305A2E" w:rsidP="00305A2E">
      <w:pPr>
        <w:pStyle w:val="a3"/>
        <w:numPr>
          <w:ilvl w:val="0"/>
          <w:numId w:val="7"/>
        </w:numPr>
        <w:rPr>
          <w:color w:val="000000" w:themeColor="text1"/>
        </w:rPr>
      </w:pPr>
      <w:r w:rsidRPr="00EF3263">
        <w:rPr>
          <w:color w:val="000000" w:themeColor="text1"/>
        </w:rPr>
        <w:t>企業・組織や団体の役員、顧問職、社員などへの就任に対する報酬</w:t>
      </w:r>
    </w:p>
    <w:p w14:paraId="5F61269C" w14:textId="77777777" w:rsidR="00305A2E" w:rsidRPr="00EF3263" w:rsidRDefault="00305A2E" w:rsidP="00305A2E">
      <w:pPr>
        <w:pStyle w:val="a3"/>
        <w:numPr>
          <w:ilvl w:val="0"/>
          <w:numId w:val="7"/>
        </w:numPr>
        <w:rPr>
          <w:color w:val="000000" w:themeColor="text1"/>
        </w:rPr>
      </w:pPr>
      <w:r w:rsidRPr="00EF3263">
        <w:rPr>
          <w:rFonts w:hint="eastAsia"/>
          <w:color w:val="000000" w:themeColor="text1"/>
        </w:rPr>
        <w:t>企業の株式の保有による利益</w:t>
      </w:r>
    </w:p>
    <w:p w14:paraId="2D1304FE" w14:textId="77777777" w:rsidR="00305A2E" w:rsidRPr="00EF3263" w:rsidRDefault="00305A2E" w:rsidP="00305A2E">
      <w:pPr>
        <w:pStyle w:val="a3"/>
        <w:numPr>
          <w:ilvl w:val="0"/>
          <w:numId w:val="7"/>
        </w:numPr>
        <w:rPr>
          <w:color w:val="000000" w:themeColor="text1"/>
        </w:rPr>
      </w:pPr>
      <w:r w:rsidRPr="00EF3263">
        <w:rPr>
          <w:rFonts w:hint="eastAsia"/>
          <w:color w:val="000000" w:themeColor="text1"/>
        </w:rPr>
        <w:t>企業・組織や団体からの特許権などの使用料</w:t>
      </w:r>
    </w:p>
    <w:p w14:paraId="4DB34157" w14:textId="77777777" w:rsidR="00305A2E" w:rsidRPr="00EF3263" w:rsidRDefault="00305A2E" w:rsidP="00305A2E">
      <w:pPr>
        <w:pStyle w:val="a3"/>
        <w:numPr>
          <w:ilvl w:val="0"/>
          <w:numId w:val="7"/>
        </w:numPr>
        <w:rPr>
          <w:color w:val="000000" w:themeColor="text1"/>
        </w:rPr>
      </w:pPr>
      <w:r w:rsidRPr="00EF3263">
        <w:rPr>
          <w:rFonts w:hint="eastAsia"/>
          <w:color w:val="000000" w:themeColor="text1"/>
        </w:rPr>
        <w:t>企業・組織や団体から、会議の出席（発表）に対し、研究者を拘束した時間・労力に対して支払われた日当（講演料など）</w:t>
      </w:r>
    </w:p>
    <w:p w14:paraId="70DE81DE" w14:textId="77777777" w:rsidR="00305A2E" w:rsidRPr="00EF3263" w:rsidRDefault="00305A2E" w:rsidP="00305A2E">
      <w:pPr>
        <w:pStyle w:val="a3"/>
        <w:numPr>
          <w:ilvl w:val="0"/>
          <w:numId w:val="7"/>
        </w:numPr>
        <w:rPr>
          <w:color w:val="000000" w:themeColor="text1"/>
        </w:rPr>
      </w:pPr>
      <w:r w:rsidRPr="00EF3263">
        <w:rPr>
          <w:rFonts w:hint="eastAsia"/>
          <w:color w:val="000000" w:themeColor="text1"/>
        </w:rPr>
        <w:t>企業・組織や団体からパンプレットなどの執筆に対して支払った原稿料</w:t>
      </w:r>
    </w:p>
    <w:p w14:paraId="232904A1" w14:textId="77777777" w:rsidR="00305A2E" w:rsidRPr="00EF3263" w:rsidRDefault="00305A2E" w:rsidP="00305A2E">
      <w:pPr>
        <w:pStyle w:val="a3"/>
        <w:numPr>
          <w:ilvl w:val="0"/>
          <w:numId w:val="7"/>
        </w:numPr>
        <w:rPr>
          <w:color w:val="000000" w:themeColor="text1"/>
        </w:rPr>
      </w:pPr>
      <w:r w:rsidRPr="00EF3263">
        <w:rPr>
          <w:rFonts w:hint="eastAsia"/>
          <w:color w:val="000000" w:themeColor="text1"/>
        </w:rPr>
        <w:t>企業・組織や団体が提供する研究費（共同研究、受託研究、寄付金など）</w:t>
      </w:r>
    </w:p>
    <w:p w14:paraId="77A36C60" w14:textId="77777777" w:rsidR="00305A2E" w:rsidRPr="00EF3263" w:rsidRDefault="00305A2E" w:rsidP="00305A2E">
      <w:pPr>
        <w:pStyle w:val="a3"/>
        <w:numPr>
          <w:ilvl w:val="0"/>
          <w:numId w:val="7"/>
        </w:numPr>
        <w:rPr>
          <w:color w:val="000000" w:themeColor="text1"/>
        </w:rPr>
      </w:pPr>
      <w:r w:rsidRPr="00EF3263">
        <w:rPr>
          <w:rFonts w:hint="eastAsia"/>
          <w:color w:val="000000" w:themeColor="text1"/>
        </w:rPr>
        <w:t>企業・組織や団体がスポンサーとなる寄附講座</w:t>
      </w:r>
    </w:p>
    <w:p w14:paraId="5381A18D" w14:textId="77777777" w:rsidR="00305A2E" w:rsidRPr="00EF3263" w:rsidRDefault="00305A2E" w:rsidP="00305A2E">
      <w:pPr>
        <w:pStyle w:val="a3"/>
        <w:numPr>
          <w:ilvl w:val="0"/>
          <w:numId w:val="7"/>
        </w:numPr>
        <w:rPr>
          <w:color w:val="000000" w:themeColor="text1"/>
        </w:rPr>
      </w:pPr>
      <w:r w:rsidRPr="00EF3263">
        <w:rPr>
          <w:rFonts w:hint="eastAsia"/>
          <w:color w:val="000000" w:themeColor="text1"/>
        </w:rPr>
        <w:t>その他、上記以外の企業・組織や団体からの旅費や贈答品などの受領</w:t>
      </w:r>
    </w:p>
    <w:p w14:paraId="2F1F6FAC" w14:textId="77777777" w:rsidR="00305A2E" w:rsidRPr="00EF3263" w:rsidRDefault="00305A2E" w:rsidP="00305A2E">
      <w:pPr>
        <w:pStyle w:val="a3"/>
        <w:rPr>
          <w:color w:val="000000" w:themeColor="text1"/>
        </w:rPr>
      </w:pPr>
    </w:p>
    <w:p w14:paraId="640BDDF8" w14:textId="77777777" w:rsidR="004357DB" w:rsidRPr="00EF3263" w:rsidRDefault="00305A2E" w:rsidP="004357DB">
      <w:pPr>
        <w:pStyle w:val="a3"/>
        <w:numPr>
          <w:ilvl w:val="0"/>
          <w:numId w:val="1"/>
        </w:numPr>
        <w:rPr>
          <w:b/>
          <w:color w:val="000000" w:themeColor="text1"/>
        </w:rPr>
      </w:pPr>
      <w:r w:rsidRPr="00EF3263">
        <w:rPr>
          <w:b/>
          <w:color w:val="000000" w:themeColor="text1"/>
        </w:rPr>
        <w:t>COI</w:t>
      </w:r>
      <w:r w:rsidRPr="00EF3263">
        <w:rPr>
          <w:b/>
          <w:color w:val="000000" w:themeColor="text1"/>
        </w:rPr>
        <w:t>状態との関係で回避すべき事項</w:t>
      </w:r>
    </w:p>
    <w:p w14:paraId="364F4DAF" w14:textId="77777777" w:rsidR="001F4688" w:rsidRPr="00EF3263" w:rsidRDefault="00305A2E" w:rsidP="001F4688">
      <w:pPr>
        <w:pStyle w:val="a3"/>
        <w:numPr>
          <w:ilvl w:val="0"/>
          <w:numId w:val="8"/>
        </w:numPr>
        <w:rPr>
          <w:b/>
          <w:color w:val="000000" w:themeColor="text1"/>
        </w:rPr>
      </w:pPr>
      <w:r w:rsidRPr="00EF3263">
        <w:rPr>
          <w:b/>
          <w:color w:val="000000" w:themeColor="text1"/>
        </w:rPr>
        <w:t>対象者のすべてが回避すべきこと</w:t>
      </w:r>
    </w:p>
    <w:p w14:paraId="1B63FD35" w14:textId="77777777" w:rsidR="00305A2E" w:rsidRPr="00EF3263" w:rsidRDefault="001F4688" w:rsidP="001F4688">
      <w:pPr>
        <w:ind w:firstLine="210"/>
        <w:rPr>
          <w:color w:val="000000" w:themeColor="text1"/>
        </w:rPr>
      </w:pPr>
      <w:r w:rsidRPr="00EF3263">
        <w:rPr>
          <w:rFonts w:hint="eastAsia"/>
          <w:color w:val="000000" w:themeColor="text1"/>
        </w:rPr>
        <w:t xml:space="preserve">　</w:t>
      </w:r>
      <w:r w:rsidR="00305A2E" w:rsidRPr="00EF3263">
        <w:rPr>
          <w:rFonts w:hint="eastAsia"/>
          <w:color w:val="000000" w:themeColor="text1"/>
        </w:rPr>
        <w:t>成人矯正歯科学研究の成果の公表などは、純粋に科学的な根拠と判断、あるいは公共の利益に基づいて行うものとする。</w:t>
      </w:r>
      <w:r w:rsidRPr="00EF3263">
        <w:rPr>
          <w:rFonts w:hint="eastAsia"/>
          <w:color w:val="000000" w:themeColor="text1"/>
        </w:rPr>
        <w:t>対象者は、成人矯正歯科学研究の成果を学術集会や論文などで発表するか否かの決定、成人矯正歯科学研究の成果とその解釈といった公表内容などの作成について、当該研究の資金提供者・企業の恣意的な意図に影響されてはならない。また、当該研究の資金提供者・企業などの影響を避けられないような契約書を締結してはならない。</w:t>
      </w:r>
    </w:p>
    <w:p w14:paraId="65F58A6E" w14:textId="77777777" w:rsidR="001F4688" w:rsidRPr="00EF3263" w:rsidRDefault="001F4688" w:rsidP="001F4688">
      <w:pPr>
        <w:pStyle w:val="a3"/>
        <w:numPr>
          <w:ilvl w:val="0"/>
          <w:numId w:val="8"/>
        </w:numPr>
        <w:rPr>
          <w:b/>
          <w:color w:val="000000" w:themeColor="text1"/>
        </w:rPr>
      </w:pPr>
      <w:r w:rsidRPr="00EF3263">
        <w:rPr>
          <w:rFonts w:hint="eastAsia"/>
          <w:b/>
          <w:color w:val="000000" w:themeColor="text1"/>
        </w:rPr>
        <w:t>成人矯正歯科学研究の臨床試験責任者が回避すべきこと</w:t>
      </w:r>
    </w:p>
    <w:p w14:paraId="17CC964C" w14:textId="77777777" w:rsidR="001F4688" w:rsidRPr="00EF3263" w:rsidRDefault="001F4688" w:rsidP="001F4688">
      <w:pPr>
        <w:rPr>
          <w:color w:val="000000" w:themeColor="text1"/>
        </w:rPr>
      </w:pPr>
      <w:r w:rsidRPr="00EF3263">
        <w:rPr>
          <w:rFonts w:hint="eastAsia"/>
          <w:color w:val="000000" w:themeColor="text1"/>
        </w:rPr>
        <w:lastRenderedPageBreak/>
        <w:t xml:space="preserve">　成人矯正歯科学研究、特に臨床試験、治験などの計画・実施に決定権を持つ責任者には、次の事項に関して重大な</w:t>
      </w:r>
      <w:r w:rsidRPr="00EF3263">
        <w:rPr>
          <w:rFonts w:hint="eastAsia"/>
          <w:color w:val="000000" w:themeColor="text1"/>
        </w:rPr>
        <w:t>COI</w:t>
      </w:r>
      <w:r w:rsidRPr="00EF3263">
        <w:rPr>
          <w:rFonts w:hint="eastAsia"/>
          <w:color w:val="000000" w:themeColor="text1"/>
        </w:rPr>
        <w:t>状態にない（依頼者との関係が少ない）と社会的に評価されるものが選出されるべきであり、また選出後もその状態を維持すべきである。</w:t>
      </w:r>
    </w:p>
    <w:p w14:paraId="1EAEB083" w14:textId="77777777" w:rsidR="001F4688" w:rsidRPr="00EF3263" w:rsidRDefault="001F4688" w:rsidP="001F4688">
      <w:pPr>
        <w:pStyle w:val="a3"/>
        <w:numPr>
          <w:ilvl w:val="0"/>
          <w:numId w:val="10"/>
        </w:numPr>
        <w:rPr>
          <w:color w:val="000000" w:themeColor="text1"/>
        </w:rPr>
      </w:pPr>
      <w:r w:rsidRPr="00EF3263">
        <w:rPr>
          <w:rFonts w:hint="eastAsia"/>
          <w:color w:val="000000" w:themeColor="text1"/>
        </w:rPr>
        <w:t>成人矯正歯科学研究を依頼する企業の株の保有</w:t>
      </w:r>
    </w:p>
    <w:p w14:paraId="2EB64F55" w14:textId="77777777" w:rsidR="001F4688" w:rsidRPr="00EF3263" w:rsidRDefault="001F4688" w:rsidP="001F4688">
      <w:pPr>
        <w:pStyle w:val="a3"/>
        <w:numPr>
          <w:ilvl w:val="0"/>
          <w:numId w:val="10"/>
        </w:numPr>
        <w:rPr>
          <w:color w:val="000000" w:themeColor="text1"/>
        </w:rPr>
      </w:pPr>
      <w:r w:rsidRPr="00EF3263">
        <w:rPr>
          <w:rFonts w:hint="eastAsia"/>
          <w:color w:val="000000" w:themeColor="text1"/>
        </w:rPr>
        <w:t>成人矯正歯科学研究の結果から得られる製品・技術の特許料・特許権の獲得</w:t>
      </w:r>
    </w:p>
    <w:p w14:paraId="230E3D22" w14:textId="77777777" w:rsidR="001F4688" w:rsidRPr="00EF3263" w:rsidRDefault="001F4688" w:rsidP="001F4688">
      <w:pPr>
        <w:pStyle w:val="a3"/>
        <w:numPr>
          <w:ilvl w:val="0"/>
          <w:numId w:val="10"/>
        </w:numPr>
        <w:rPr>
          <w:color w:val="000000" w:themeColor="text1"/>
        </w:rPr>
      </w:pPr>
      <w:r w:rsidRPr="00EF3263">
        <w:rPr>
          <w:rFonts w:hint="eastAsia"/>
          <w:color w:val="000000" w:themeColor="text1"/>
        </w:rPr>
        <w:t>成人矯正歯科学研究を依頼する企業・組織や団体の役員、理事、顧問など（無償の学術的顧問は除く）</w:t>
      </w:r>
    </w:p>
    <w:p w14:paraId="744BFF3D" w14:textId="77777777" w:rsidR="001F4688" w:rsidRPr="00EF3263" w:rsidRDefault="001F4688" w:rsidP="001F4688">
      <w:pPr>
        <w:rPr>
          <w:color w:val="000000" w:themeColor="text1"/>
        </w:rPr>
      </w:pPr>
      <w:r w:rsidRPr="00EF3263">
        <w:rPr>
          <w:rFonts w:hint="eastAsia"/>
          <w:color w:val="000000" w:themeColor="text1"/>
        </w:rPr>
        <w:t>但し、（</w:t>
      </w:r>
      <w:r w:rsidRPr="00EF3263">
        <w:rPr>
          <w:rFonts w:hint="eastAsia"/>
          <w:color w:val="000000" w:themeColor="text1"/>
        </w:rPr>
        <w:t>1</w:t>
      </w:r>
      <w:r w:rsidRPr="00EF3263">
        <w:rPr>
          <w:rFonts w:hint="eastAsia"/>
          <w:color w:val="000000" w:themeColor="text1"/>
        </w:rPr>
        <w:t>）～（</w:t>
      </w:r>
      <w:r w:rsidRPr="00EF3263">
        <w:rPr>
          <w:rFonts w:hint="eastAsia"/>
          <w:color w:val="000000" w:themeColor="text1"/>
        </w:rPr>
        <w:t>3</w:t>
      </w:r>
      <w:r w:rsidRPr="00EF3263">
        <w:rPr>
          <w:rFonts w:hint="eastAsia"/>
          <w:color w:val="000000" w:themeColor="text1"/>
        </w:rPr>
        <w:t>）に該当する研究者であっても、当該研究を計画・実行する上で必要不可欠の人材であり、かつ、当該研究が国際的にも極めて重要な意義を持つような場合には、その判断と措置の公平性および透明性が明確に担保される限り、当該研究の臨床試験責任者に就任することができる。</w:t>
      </w:r>
    </w:p>
    <w:p w14:paraId="228BC8B7" w14:textId="77777777" w:rsidR="001F4688" w:rsidRPr="00EF3263" w:rsidRDefault="001F4688" w:rsidP="001F4688">
      <w:pPr>
        <w:rPr>
          <w:color w:val="000000" w:themeColor="text1"/>
        </w:rPr>
      </w:pPr>
    </w:p>
    <w:p w14:paraId="679FCA34" w14:textId="77777777" w:rsidR="00780886" w:rsidRPr="00EF3263" w:rsidRDefault="00780886" w:rsidP="00780886">
      <w:pPr>
        <w:pStyle w:val="a3"/>
        <w:numPr>
          <w:ilvl w:val="0"/>
          <w:numId w:val="1"/>
        </w:numPr>
        <w:rPr>
          <w:b/>
          <w:color w:val="000000" w:themeColor="text1"/>
        </w:rPr>
      </w:pPr>
      <w:r w:rsidRPr="00EF3263">
        <w:rPr>
          <w:rFonts w:hint="eastAsia"/>
          <w:b/>
          <w:color w:val="000000" w:themeColor="text1"/>
        </w:rPr>
        <w:t>実施方法</w:t>
      </w:r>
    </w:p>
    <w:p w14:paraId="781D0FCB" w14:textId="77777777" w:rsidR="00780886" w:rsidRPr="00EF3263" w:rsidRDefault="00780886" w:rsidP="00780886">
      <w:pPr>
        <w:pStyle w:val="a3"/>
        <w:numPr>
          <w:ilvl w:val="0"/>
          <w:numId w:val="11"/>
        </w:numPr>
        <w:rPr>
          <w:b/>
          <w:color w:val="000000" w:themeColor="text1"/>
        </w:rPr>
      </w:pPr>
      <w:r w:rsidRPr="00EF3263">
        <w:rPr>
          <w:rFonts w:hint="eastAsia"/>
          <w:b/>
          <w:color w:val="000000" w:themeColor="text1"/>
        </w:rPr>
        <w:t>会員の責務</w:t>
      </w:r>
    </w:p>
    <w:p w14:paraId="0DF3D5F6" w14:textId="77777777" w:rsidR="00780886" w:rsidRPr="00EF3263" w:rsidRDefault="00780886" w:rsidP="00780886">
      <w:pPr>
        <w:rPr>
          <w:color w:val="000000" w:themeColor="text1"/>
        </w:rPr>
      </w:pPr>
      <w:r w:rsidRPr="00EF3263">
        <w:rPr>
          <w:rFonts w:hint="eastAsia"/>
          <w:color w:val="000000" w:themeColor="text1"/>
        </w:rPr>
        <w:t xml:space="preserve">　本学会会員は、成人矯正歯科学研究の成果を学術大会あるいは</w:t>
      </w:r>
      <w:r w:rsidR="00180C80" w:rsidRPr="00EF3263">
        <w:rPr>
          <w:rFonts w:hint="eastAsia"/>
          <w:color w:val="000000" w:themeColor="text1"/>
        </w:rPr>
        <w:t>本</w:t>
      </w:r>
      <w:r w:rsidRPr="00EF3263">
        <w:rPr>
          <w:rFonts w:hint="eastAsia"/>
          <w:color w:val="000000" w:themeColor="text1"/>
        </w:rPr>
        <w:t>学会機関誌</w:t>
      </w:r>
      <w:r w:rsidR="00180C80" w:rsidRPr="00EF3263">
        <w:rPr>
          <w:rFonts w:hint="eastAsia"/>
          <w:color w:val="000000" w:themeColor="text1"/>
        </w:rPr>
        <w:t>など</w:t>
      </w:r>
      <w:r w:rsidRPr="00EF3263">
        <w:rPr>
          <w:rFonts w:hint="eastAsia"/>
          <w:color w:val="000000" w:themeColor="text1"/>
        </w:rPr>
        <w:t>で発表する場合、当該研究に関わる</w:t>
      </w:r>
      <w:r w:rsidRPr="00EF3263">
        <w:rPr>
          <w:rFonts w:hint="eastAsia"/>
          <w:color w:val="000000" w:themeColor="text1"/>
        </w:rPr>
        <w:t>COI</w:t>
      </w:r>
      <w:r w:rsidRPr="00EF3263">
        <w:rPr>
          <w:rFonts w:hint="eastAsia"/>
          <w:color w:val="000000" w:themeColor="text1"/>
        </w:rPr>
        <w:t>状態を、本指針の細則に基づき所定の書式に従って適切に自己申告し、開示するものとする。</w:t>
      </w:r>
    </w:p>
    <w:p w14:paraId="5E63F18B" w14:textId="77777777" w:rsidR="00780886" w:rsidRPr="00EF3263" w:rsidRDefault="00780886" w:rsidP="00780886">
      <w:pPr>
        <w:pStyle w:val="a3"/>
        <w:numPr>
          <w:ilvl w:val="0"/>
          <w:numId w:val="11"/>
        </w:numPr>
        <w:rPr>
          <w:b/>
          <w:color w:val="000000" w:themeColor="text1"/>
        </w:rPr>
      </w:pPr>
      <w:r w:rsidRPr="00EF3263">
        <w:rPr>
          <w:rFonts w:hint="eastAsia"/>
          <w:b/>
          <w:color w:val="000000" w:themeColor="text1"/>
        </w:rPr>
        <w:t>役員などの責務</w:t>
      </w:r>
    </w:p>
    <w:p w14:paraId="3B363DA9" w14:textId="77777777" w:rsidR="00780886" w:rsidRPr="00EF3263" w:rsidRDefault="00780886" w:rsidP="00780886">
      <w:pPr>
        <w:ind w:firstLine="210"/>
        <w:rPr>
          <w:color w:val="000000" w:themeColor="text1"/>
        </w:rPr>
      </w:pPr>
      <w:r w:rsidRPr="00EF3263">
        <w:rPr>
          <w:rFonts w:hint="eastAsia"/>
          <w:color w:val="000000" w:themeColor="text1"/>
        </w:rPr>
        <w:t>本学会の役員、各種常置委員会の委員長および特定の委員会の委員、学術大会大会長は、本学会の事業活動に対して重要な役割と責務を担うことから、就任する時点で所定の書式に従い、当該事業に関わる利益相反の状況について</w:t>
      </w:r>
      <w:r w:rsidRPr="00EF3263">
        <w:rPr>
          <w:rFonts w:hint="eastAsia"/>
          <w:color w:val="000000" w:themeColor="text1"/>
        </w:rPr>
        <w:t>COI</w:t>
      </w:r>
      <w:r w:rsidRPr="00EF3263">
        <w:rPr>
          <w:rFonts w:hint="eastAsia"/>
          <w:color w:val="000000" w:themeColor="text1"/>
        </w:rPr>
        <w:t>自己申告書を提出するものとする。また、就任後、新たに</w:t>
      </w:r>
      <w:r w:rsidRPr="00EF3263">
        <w:rPr>
          <w:rFonts w:hint="eastAsia"/>
          <w:color w:val="000000" w:themeColor="text1"/>
        </w:rPr>
        <w:t>COI</w:t>
      </w:r>
      <w:r w:rsidRPr="00EF3263">
        <w:rPr>
          <w:rFonts w:hint="eastAsia"/>
          <w:color w:val="000000" w:themeColor="text1"/>
        </w:rPr>
        <w:t>状態が発生した場合には、同様に</w:t>
      </w:r>
      <w:r w:rsidRPr="00EF3263">
        <w:rPr>
          <w:rFonts w:hint="eastAsia"/>
          <w:color w:val="000000" w:themeColor="text1"/>
        </w:rPr>
        <w:t>COI</w:t>
      </w:r>
      <w:r w:rsidRPr="00EF3263">
        <w:rPr>
          <w:rFonts w:hint="eastAsia"/>
          <w:color w:val="000000" w:themeColor="text1"/>
        </w:rPr>
        <w:t>自己申告書を提出するものとする。</w:t>
      </w:r>
    </w:p>
    <w:p w14:paraId="2AE83FE8" w14:textId="29AF0542" w:rsidR="00780886" w:rsidRPr="00EF3263" w:rsidRDefault="00B84901" w:rsidP="00780886">
      <w:pPr>
        <w:pStyle w:val="a3"/>
        <w:numPr>
          <w:ilvl w:val="0"/>
          <w:numId w:val="11"/>
        </w:numPr>
        <w:rPr>
          <w:b/>
          <w:color w:val="000000" w:themeColor="text1"/>
        </w:rPr>
      </w:pPr>
      <w:r w:rsidRPr="00EF3263">
        <w:rPr>
          <w:rFonts w:hint="eastAsia"/>
          <w:b/>
          <w:color w:val="000000" w:themeColor="text1"/>
        </w:rPr>
        <w:t>コン</w:t>
      </w:r>
      <w:r w:rsidR="007076A0" w:rsidRPr="00EF3263">
        <w:rPr>
          <w:rFonts w:hint="eastAsia"/>
          <w:b/>
          <w:color w:val="000000" w:themeColor="text1"/>
        </w:rPr>
        <w:t>プライアンス委員会</w:t>
      </w:r>
      <w:r w:rsidR="00780886" w:rsidRPr="00EF3263">
        <w:rPr>
          <w:rFonts w:hint="eastAsia"/>
          <w:b/>
          <w:color w:val="000000" w:themeColor="text1"/>
        </w:rPr>
        <w:t>の設置と役割</w:t>
      </w:r>
    </w:p>
    <w:p w14:paraId="2AE87402" w14:textId="2EF02020" w:rsidR="00780886" w:rsidRPr="00EF3263" w:rsidRDefault="00780886" w:rsidP="00780886">
      <w:pPr>
        <w:rPr>
          <w:color w:val="000000" w:themeColor="text1"/>
        </w:rPr>
      </w:pPr>
      <w:r w:rsidRPr="00EF3263">
        <w:rPr>
          <w:rFonts w:hint="eastAsia"/>
          <w:color w:val="000000" w:themeColor="text1"/>
        </w:rPr>
        <w:t xml:space="preserve">　本学会は、会員などの</w:t>
      </w:r>
      <w:r w:rsidRPr="00EF3263">
        <w:rPr>
          <w:rFonts w:hint="eastAsia"/>
          <w:color w:val="000000" w:themeColor="text1"/>
        </w:rPr>
        <w:t>COI</w:t>
      </w:r>
      <w:r w:rsidRPr="00EF3263">
        <w:rPr>
          <w:rFonts w:hint="eastAsia"/>
          <w:color w:val="000000" w:themeColor="text1"/>
        </w:rPr>
        <w:t>状態を審査し、適正に管理するため</w:t>
      </w:r>
      <w:r w:rsidR="007076A0" w:rsidRPr="00EF3263">
        <w:rPr>
          <w:rFonts w:hint="eastAsia"/>
          <w:color w:val="000000" w:themeColor="text1"/>
        </w:rPr>
        <w:t>コンプライアンス委員会を</w:t>
      </w:r>
      <w:r w:rsidRPr="00EF3263">
        <w:rPr>
          <w:rFonts w:hint="eastAsia"/>
          <w:color w:val="000000" w:themeColor="text1"/>
        </w:rPr>
        <w:t>設置する。</w:t>
      </w:r>
      <w:r w:rsidR="007076A0" w:rsidRPr="00EF3263">
        <w:rPr>
          <w:rFonts w:hint="eastAsia"/>
          <w:color w:val="000000" w:themeColor="text1"/>
        </w:rPr>
        <w:t>コンプライアンス</w:t>
      </w:r>
      <w:r w:rsidRPr="00EF3263">
        <w:rPr>
          <w:rFonts w:hint="eastAsia"/>
          <w:color w:val="000000" w:themeColor="text1"/>
        </w:rPr>
        <w:t>委員会は、本学会が実施するすべての事業において、会員などに重大な</w:t>
      </w:r>
      <w:r w:rsidRPr="00EF3263">
        <w:rPr>
          <w:rFonts w:hint="eastAsia"/>
          <w:color w:val="000000" w:themeColor="text1"/>
        </w:rPr>
        <w:t>COI</w:t>
      </w:r>
      <w:r w:rsidRPr="00EF3263">
        <w:rPr>
          <w:rFonts w:hint="eastAsia"/>
          <w:color w:val="000000" w:themeColor="text1"/>
        </w:rPr>
        <w:t>状態が生じた場合、あるいは</w:t>
      </w:r>
      <w:r w:rsidR="00180C80" w:rsidRPr="00EF3263">
        <w:rPr>
          <w:rFonts w:hint="eastAsia"/>
          <w:color w:val="000000" w:themeColor="text1"/>
        </w:rPr>
        <w:t>COI</w:t>
      </w:r>
      <w:r w:rsidRPr="00EF3263">
        <w:rPr>
          <w:rFonts w:hint="eastAsia"/>
          <w:color w:val="000000" w:themeColor="text1"/>
        </w:rPr>
        <w:t>に関わる自己申告が不適切であるとの疑いが生じた場合、該当者の</w:t>
      </w:r>
      <w:r w:rsidRPr="00EF3263">
        <w:rPr>
          <w:rFonts w:hint="eastAsia"/>
          <w:color w:val="000000" w:themeColor="text1"/>
        </w:rPr>
        <w:t>COI</w:t>
      </w:r>
      <w:r w:rsidRPr="00EF3263">
        <w:rPr>
          <w:rFonts w:hint="eastAsia"/>
          <w:color w:val="000000" w:themeColor="text1"/>
        </w:rPr>
        <w:t>状態を把握するために調査などを実施し、その結果を理事長に答申するものである。</w:t>
      </w:r>
    </w:p>
    <w:p w14:paraId="32B74A91" w14:textId="77777777" w:rsidR="009B13C7" w:rsidRPr="00EF3263" w:rsidRDefault="009B13C7" w:rsidP="009B13C7">
      <w:pPr>
        <w:pStyle w:val="a3"/>
        <w:numPr>
          <w:ilvl w:val="0"/>
          <w:numId w:val="11"/>
        </w:numPr>
        <w:rPr>
          <w:b/>
          <w:color w:val="000000" w:themeColor="text1"/>
        </w:rPr>
      </w:pPr>
      <w:r w:rsidRPr="00EF3263">
        <w:rPr>
          <w:rFonts w:hint="eastAsia"/>
          <w:b/>
          <w:color w:val="000000" w:themeColor="text1"/>
        </w:rPr>
        <w:t>理事会の役割</w:t>
      </w:r>
    </w:p>
    <w:p w14:paraId="3CB46E59" w14:textId="432303AE" w:rsidR="009B13C7" w:rsidRPr="00EF3263" w:rsidRDefault="009B13C7" w:rsidP="00EC3548">
      <w:pPr>
        <w:ind w:firstLine="210"/>
        <w:rPr>
          <w:color w:val="000000" w:themeColor="text1"/>
        </w:rPr>
      </w:pPr>
      <w:r w:rsidRPr="00EF3263">
        <w:rPr>
          <w:rFonts w:hint="eastAsia"/>
          <w:color w:val="000000" w:themeColor="text1"/>
        </w:rPr>
        <w:t>理事会は、本学会の事業を遂行する上で、役員などに重大な</w:t>
      </w:r>
      <w:r w:rsidRPr="00EF3263">
        <w:rPr>
          <w:rFonts w:hint="eastAsia"/>
          <w:color w:val="000000" w:themeColor="text1"/>
        </w:rPr>
        <w:t>COI</w:t>
      </w:r>
      <w:r w:rsidRPr="00EF3263">
        <w:rPr>
          <w:rFonts w:hint="eastAsia"/>
          <w:color w:val="000000" w:themeColor="text1"/>
        </w:rPr>
        <w:t>状態が生じた場合、あるいは</w:t>
      </w:r>
      <w:r w:rsidRPr="00EF3263">
        <w:rPr>
          <w:rFonts w:hint="eastAsia"/>
          <w:color w:val="000000" w:themeColor="text1"/>
        </w:rPr>
        <w:t>COI</w:t>
      </w:r>
      <w:r w:rsidRPr="00EF3263">
        <w:rPr>
          <w:rFonts w:hint="eastAsia"/>
          <w:color w:val="000000" w:themeColor="text1"/>
        </w:rPr>
        <w:t>状態の自己申告が不適切であるとの疑いが生じた場合、</w:t>
      </w:r>
      <w:r w:rsidR="007076A0" w:rsidRPr="00EF3263">
        <w:rPr>
          <w:rFonts w:hint="eastAsia"/>
          <w:color w:val="000000" w:themeColor="text1"/>
        </w:rPr>
        <w:t>コンプライアンス</w:t>
      </w:r>
      <w:r w:rsidRPr="00EF3263">
        <w:rPr>
          <w:rFonts w:hint="eastAsia"/>
          <w:color w:val="000000" w:themeColor="text1"/>
        </w:rPr>
        <w:t>委員会に諮問し、その答申に基づいて改善措置などを指示することができる。</w:t>
      </w:r>
    </w:p>
    <w:p w14:paraId="70FA25B8" w14:textId="77777777" w:rsidR="008F31A2" w:rsidRPr="00EF3263" w:rsidRDefault="009B13C7" w:rsidP="0039240C">
      <w:pPr>
        <w:pStyle w:val="a3"/>
        <w:numPr>
          <w:ilvl w:val="0"/>
          <w:numId w:val="11"/>
        </w:numPr>
        <w:rPr>
          <w:b/>
          <w:color w:val="000000" w:themeColor="text1"/>
        </w:rPr>
      </w:pPr>
      <w:r w:rsidRPr="00EF3263">
        <w:rPr>
          <w:rFonts w:hint="eastAsia"/>
          <w:b/>
          <w:color w:val="000000" w:themeColor="text1"/>
        </w:rPr>
        <w:t>学術大会大会長の役割</w:t>
      </w:r>
    </w:p>
    <w:p w14:paraId="4785F86F" w14:textId="55E3604A" w:rsidR="0039240C" w:rsidRPr="00EF3263" w:rsidRDefault="009B13C7" w:rsidP="008F31A2">
      <w:pPr>
        <w:ind w:firstLine="210"/>
        <w:rPr>
          <w:color w:val="000000" w:themeColor="text1"/>
        </w:rPr>
      </w:pPr>
      <w:r w:rsidRPr="00EF3263">
        <w:rPr>
          <w:rFonts w:hint="eastAsia"/>
          <w:color w:val="000000" w:themeColor="text1"/>
        </w:rPr>
        <w:t>本学会学術大会大会長は、当該学術大会において成人矯正歯科学研究の成果が発表される場合、その発表が本指針に沿ったものであることを検証し、本指針</w:t>
      </w:r>
      <w:r w:rsidR="00476E4B" w:rsidRPr="00EF3263">
        <w:rPr>
          <w:rFonts w:hint="eastAsia"/>
          <w:color w:val="000000" w:themeColor="text1"/>
        </w:rPr>
        <w:t>に</w:t>
      </w:r>
      <w:r w:rsidRPr="00EF3263">
        <w:rPr>
          <w:rFonts w:hint="eastAsia"/>
          <w:color w:val="000000" w:themeColor="text1"/>
        </w:rPr>
        <w:t>違反する場合には、</w:t>
      </w:r>
      <w:r w:rsidRPr="00EF3263">
        <w:rPr>
          <w:rFonts w:hint="eastAsia"/>
          <w:color w:val="000000" w:themeColor="text1"/>
        </w:rPr>
        <w:lastRenderedPageBreak/>
        <w:t>発表の差し止めなどの措置を講ずることができる。なお、この措置に際して、大会長は</w:t>
      </w:r>
      <w:r w:rsidR="00DF318E" w:rsidRPr="00EF3263">
        <w:rPr>
          <w:rFonts w:hint="eastAsia"/>
          <w:color w:val="000000" w:themeColor="text1"/>
        </w:rPr>
        <w:t>コンプライアンス委員会</w:t>
      </w:r>
      <w:r w:rsidRPr="00EF3263">
        <w:rPr>
          <w:rFonts w:hint="eastAsia"/>
          <w:color w:val="000000" w:themeColor="text1"/>
        </w:rPr>
        <w:t>に諮問し、その答申に基づいて当該発表者に対し改善措置などを指示するものとする。</w:t>
      </w:r>
    </w:p>
    <w:p w14:paraId="79988613" w14:textId="77777777" w:rsidR="0039240C" w:rsidRPr="00EF3263" w:rsidRDefault="0039240C" w:rsidP="0039240C">
      <w:pPr>
        <w:pStyle w:val="a3"/>
        <w:numPr>
          <w:ilvl w:val="0"/>
          <w:numId w:val="11"/>
        </w:numPr>
        <w:rPr>
          <w:b/>
          <w:color w:val="000000" w:themeColor="text1"/>
        </w:rPr>
      </w:pPr>
      <w:r w:rsidRPr="00EF3263">
        <w:rPr>
          <w:rFonts w:hint="eastAsia"/>
          <w:b/>
          <w:color w:val="000000" w:themeColor="text1"/>
        </w:rPr>
        <w:t>本学会機関誌「日本成人矯正歯科学会誌」編集委員会の役割</w:t>
      </w:r>
    </w:p>
    <w:p w14:paraId="6B5C793E" w14:textId="7D949135" w:rsidR="0039240C" w:rsidRPr="00EF3263" w:rsidRDefault="0039240C" w:rsidP="008F31A2">
      <w:pPr>
        <w:ind w:firstLine="210"/>
        <w:rPr>
          <w:color w:val="000000" w:themeColor="text1"/>
        </w:rPr>
      </w:pPr>
      <w:r w:rsidRPr="00EF3263">
        <w:rPr>
          <w:rFonts w:hint="eastAsia"/>
          <w:color w:val="000000" w:themeColor="text1"/>
        </w:rPr>
        <w:t>編集委員会は、成人矯正歯科学研究の成果が本学会会誌に投稿された場合、その内容が本指針に沿ったものであることを検証し、本指針に違反する場合には、掲載を差し止めるなどの措置を講ずることができる。なお、この措置に際して、委員長は</w:t>
      </w:r>
      <w:r w:rsidR="00DF318E" w:rsidRPr="00EF3263">
        <w:rPr>
          <w:rFonts w:hint="eastAsia"/>
          <w:color w:val="000000" w:themeColor="text1"/>
        </w:rPr>
        <w:t>コンプラインス</w:t>
      </w:r>
      <w:r w:rsidRPr="00EF3263">
        <w:rPr>
          <w:rFonts w:hint="eastAsia"/>
          <w:color w:val="000000" w:themeColor="text1"/>
        </w:rPr>
        <w:t>委員会に諮問し、その答申に基づいて、当該論文掲載後に判明した場合は、本学会誌に委員長名でその旨を公知することができる。なお、この措置に際して、委員長は</w:t>
      </w:r>
      <w:r w:rsidR="00DF318E" w:rsidRPr="00EF3263">
        <w:rPr>
          <w:rFonts w:hint="eastAsia"/>
          <w:color w:val="000000" w:themeColor="text1"/>
        </w:rPr>
        <w:t>コンプライアンス</w:t>
      </w:r>
      <w:r w:rsidRPr="00EF3263">
        <w:rPr>
          <w:rFonts w:hint="eastAsia"/>
          <w:color w:val="000000" w:themeColor="text1"/>
        </w:rPr>
        <w:t>委員会に諮問し、その答申に基づいて理事会の承認を得た後に当該措置を実施するものとする。</w:t>
      </w:r>
    </w:p>
    <w:p w14:paraId="55A4208E" w14:textId="77777777" w:rsidR="0039240C" w:rsidRPr="00EF3263" w:rsidRDefault="0039240C" w:rsidP="0039240C">
      <w:pPr>
        <w:pStyle w:val="a3"/>
        <w:numPr>
          <w:ilvl w:val="0"/>
          <w:numId w:val="11"/>
        </w:numPr>
        <w:rPr>
          <w:b/>
          <w:color w:val="000000" w:themeColor="text1"/>
        </w:rPr>
      </w:pPr>
      <w:r w:rsidRPr="00EF3263">
        <w:rPr>
          <w:b/>
          <w:color w:val="000000" w:themeColor="text1"/>
        </w:rPr>
        <w:t>その他</w:t>
      </w:r>
    </w:p>
    <w:p w14:paraId="1481CA1F" w14:textId="36FDCD32" w:rsidR="0039240C" w:rsidRPr="00EF3263" w:rsidRDefault="0039240C" w:rsidP="008F31A2">
      <w:pPr>
        <w:ind w:firstLine="210"/>
        <w:rPr>
          <w:color w:val="000000" w:themeColor="text1"/>
        </w:rPr>
      </w:pPr>
      <w:r w:rsidRPr="00EF3263">
        <w:rPr>
          <w:rFonts w:hint="eastAsia"/>
          <w:color w:val="000000" w:themeColor="text1"/>
        </w:rPr>
        <w:t>各種常置委員会および特定委員会の委員会の委員長は、各々が関与する事業活動の実施が本指針に沿ったものであることを検証し、本指針に違反する事態が生じた場合、当該委員会委員長は</w:t>
      </w:r>
      <w:r w:rsidR="00DF318E" w:rsidRPr="00EF3263">
        <w:rPr>
          <w:rFonts w:hint="eastAsia"/>
          <w:color w:val="000000" w:themeColor="text1"/>
        </w:rPr>
        <w:t>コンプライアンス</w:t>
      </w:r>
      <w:r w:rsidRPr="00EF3263">
        <w:rPr>
          <w:rFonts w:hint="eastAsia"/>
          <w:color w:val="000000" w:themeColor="text1"/>
        </w:rPr>
        <w:t>委員会に諮問し、その答申に基づいて改善措置などを</w:t>
      </w:r>
      <w:r w:rsidR="00BB6B8A">
        <w:rPr>
          <w:rFonts w:hint="eastAsia"/>
          <w:color w:val="000000" w:themeColor="text1"/>
        </w:rPr>
        <w:t>指示</w:t>
      </w:r>
      <w:r w:rsidRPr="00EF3263">
        <w:rPr>
          <w:rFonts w:hint="eastAsia"/>
          <w:color w:val="000000" w:themeColor="text1"/>
        </w:rPr>
        <w:t>するものとする。</w:t>
      </w:r>
    </w:p>
    <w:p w14:paraId="5233B544" w14:textId="77777777" w:rsidR="009855FF" w:rsidRPr="00EF3263" w:rsidRDefault="009855FF" w:rsidP="008F31A2">
      <w:pPr>
        <w:ind w:firstLine="210"/>
        <w:rPr>
          <w:color w:val="000000" w:themeColor="text1"/>
        </w:rPr>
      </w:pPr>
    </w:p>
    <w:p w14:paraId="24BDDFC6" w14:textId="77777777" w:rsidR="0039240C" w:rsidRPr="00EF3263" w:rsidRDefault="008F31A2" w:rsidP="008F31A2">
      <w:pPr>
        <w:pStyle w:val="a3"/>
        <w:numPr>
          <w:ilvl w:val="0"/>
          <w:numId w:val="1"/>
        </w:numPr>
        <w:rPr>
          <w:b/>
          <w:color w:val="000000" w:themeColor="text1"/>
        </w:rPr>
      </w:pPr>
      <w:r w:rsidRPr="00EF3263">
        <w:rPr>
          <w:b/>
          <w:color w:val="000000" w:themeColor="text1"/>
        </w:rPr>
        <w:t>指針違反者に対する措置と説明責任</w:t>
      </w:r>
    </w:p>
    <w:p w14:paraId="233E8241" w14:textId="77777777" w:rsidR="009855FF" w:rsidRPr="00EF3263" w:rsidRDefault="009855FF" w:rsidP="006269FB">
      <w:pPr>
        <w:pStyle w:val="a3"/>
        <w:numPr>
          <w:ilvl w:val="0"/>
          <w:numId w:val="14"/>
        </w:numPr>
        <w:rPr>
          <w:b/>
          <w:color w:val="000000" w:themeColor="text1"/>
        </w:rPr>
      </w:pPr>
      <w:r w:rsidRPr="00EF3263">
        <w:rPr>
          <w:b/>
          <w:color w:val="000000" w:themeColor="text1"/>
        </w:rPr>
        <w:t>指針違反者に対する措置</w:t>
      </w:r>
    </w:p>
    <w:p w14:paraId="3017AA7E" w14:textId="237BC228" w:rsidR="008F31A2" w:rsidRPr="00EF3263" w:rsidRDefault="006269FB" w:rsidP="009855FF">
      <w:pPr>
        <w:ind w:firstLine="210"/>
        <w:rPr>
          <w:color w:val="000000" w:themeColor="text1"/>
        </w:rPr>
      </w:pPr>
      <w:r w:rsidRPr="00EF3263">
        <w:rPr>
          <w:color w:val="000000" w:themeColor="text1"/>
        </w:rPr>
        <w:t>本学会理事は、別に定める規則により、本指針に違反する行為に対して審議する権限を有し、</w:t>
      </w:r>
      <w:r w:rsidR="00DF318E" w:rsidRPr="00EF3263">
        <w:rPr>
          <w:rFonts w:hint="eastAsia"/>
          <w:color w:val="000000" w:themeColor="text1"/>
        </w:rPr>
        <w:t>コンプライアンス</w:t>
      </w:r>
      <w:r w:rsidRPr="00EF3263">
        <w:rPr>
          <w:color w:val="000000" w:themeColor="text1"/>
        </w:rPr>
        <w:t>委員会に諮問し、その答申に基づく審議の結果、重大な指針違反があると判断した場合には、その違反の程度に応じて一定期間、次の措置のすべてまたは一部を講ずることができる。</w:t>
      </w:r>
    </w:p>
    <w:p w14:paraId="16F46411" w14:textId="77777777" w:rsidR="006269FB" w:rsidRPr="00EF3263" w:rsidRDefault="006269FB" w:rsidP="006269FB">
      <w:pPr>
        <w:pStyle w:val="a3"/>
        <w:numPr>
          <w:ilvl w:val="0"/>
          <w:numId w:val="16"/>
        </w:numPr>
        <w:rPr>
          <w:color w:val="000000" w:themeColor="text1"/>
        </w:rPr>
      </w:pPr>
      <w:r w:rsidRPr="00EF3263">
        <w:rPr>
          <w:rFonts w:hint="eastAsia"/>
          <w:color w:val="000000" w:themeColor="text1"/>
        </w:rPr>
        <w:t>本学会が開催するすべての学術集会などでの発表禁止</w:t>
      </w:r>
    </w:p>
    <w:p w14:paraId="38AF8DCF" w14:textId="77777777" w:rsidR="006269FB" w:rsidRPr="00EF3263" w:rsidRDefault="006269FB" w:rsidP="006269FB">
      <w:pPr>
        <w:pStyle w:val="a3"/>
        <w:numPr>
          <w:ilvl w:val="0"/>
          <w:numId w:val="16"/>
        </w:numPr>
        <w:rPr>
          <w:color w:val="000000" w:themeColor="text1"/>
        </w:rPr>
      </w:pPr>
      <w:r w:rsidRPr="00EF3263">
        <w:rPr>
          <w:rFonts w:hint="eastAsia"/>
          <w:color w:val="000000" w:themeColor="text1"/>
        </w:rPr>
        <w:t>本学会の刊行物への論文掲載禁止</w:t>
      </w:r>
    </w:p>
    <w:p w14:paraId="41E0096D" w14:textId="77777777" w:rsidR="006269FB" w:rsidRPr="00EF3263" w:rsidRDefault="006269FB" w:rsidP="006269FB">
      <w:pPr>
        <w:pStyle w:val="a3"/>
        <w:numPr>
          <w:ilvl w:val="0"/>
          <w:numId w:val="16"/>
        </w:numPr>
        <w:rPr>
          <w:color w:val="000000" w:themeColor="text1"/>
        </w:rPr>
      </w:pPr>
      <w:r w:rsidRPr="00EF3263">
        <w:rPr>
          <w:rFonts w:hint="eastAsia"/>
          <w:color w:val="000000" w:themeColor="text1"/>
        </w:rPr>
        <w:t>本学会の学術大会大会長就任の禁止</w:t>
      </w:r>
    </w:p>
    <w:p w14:paraId="4AD68286" w14:textId="77777777" w:rsidR="006269FB" w:rsidRPr="00EF3263" w:rsidRDefault="006269FB" w:rsidP="006269FB">
      <w:pPr>
        <w:pStyle w:val="a3"/>
        <w:numPr>
          <w:ilvl w:val="0"/>
          <w:numId w:val="16"/>
        </w:numPr>
        <w:rPr>
          <w:color w:val="000000" w:themeColor="text1"/>
        </w:rPr>
      </w:pPr>
      <w:r w:rsidRPr="00EF3263">
        <w:rPr>
          <w:rFonts w:hint="eastAsia"/>
          <w:color w:val="000000" w:themeColor="text1"/>
        </w:rPr>
        <w:t>本学会の理事会、委員会への参加禁止</w:t>
      </w:r>
    </w:p>
    <w:p w14:paraId="77726C41" w14:textId="77777777" w:rsidR="00660A43" w:rsidRPr="00EF3263" w:rsidRDefault="00660A43" w:rsidP="006269FB">
      <w:pPr>
        <w:pStyle w:val="a3"/>
        <w:numPr>
          <w:ilvl w:val="0"/>
          <w:numId w:val="16"/>
        </w:numPr>
        <w:rPr>
          <w:color w:val="000000" w:themeColor="text1"/>
        </w:rPr>
      </w:pPr>
      <w:r w:rsidRPr="00EF3263">
        <w:rPr>
          <w:rFonts w:hint="eastAsia"/>
          <w:color w:val="000000" w:themeColor="text1"/>
        </w:rPr>
        <w:t>本学会の会員資格の停止、除名、あるいは再入会の禁止</w:t>
      </w:r>
    </w:p>
    <w:p w14:paraId="7BAFE7E8" w14:textId="77777777" w:rsidR="006269FB" w:rsidRPr="00EF3263" w:rsidRDefault="00660A43" w:rsidP="006269FB">
      <w:pPr>
        <w:pStyle w:val="a3"/>
        <w:numPr>
          <w:ilvl w:val="0"/>
          <w:numId w:val="16"/>
        </w:numPr>
        <w:rPr>
          <w:color w:val="000000" w:themeColor="text1"/>
        </w:rPr>
      </w:pPr>
      <w:r w:rsidRPr="00EF3263">
        <w:rPr>
          <w:rFonts w:hint="eastAsia"/>
          <w:color w:val="000000" w:themeColor="text1"/>
        </w:rPr>
        <w:t>本学会の役員の解任</w:t>
      </w:r>
    </w:p>
    <w:p w14:paraId="26609782" w14:textId="77777777" w:rsidR="00660A43" w:rsidRPr="00EF3263" w:rsidRDefault="00660A43" w:rsidP="006269FB">
      <w:pPr>
        <w:pStyle w:val="a3"/>
        <w:numPr>
          <w:ilvl w:val="0"/>
          <w:numId w:val="16"/>
        </w:numPr>
        <w:rPr>
          <w:color w:val="000000" w:themeColor="text1"/>
        </w:rPr>
      </w:pPr>
      <w:r w:rsidRPr="00EF3263">
        <w:rPr>
          <w:rFonts w:hint="eastAsia"/>
          <w:color w:val="000000" w:themeColor="text1"/>
        </w:rPr>
        <w:t>本学会の常置委員会委員長決定および特定の委員会の委員に対する委嘱の撤回</w:t>
      </w:r>
    </w:p>
    <w:p w14:paraId="62A1232D" w14:textId="5CC275EE" w:rsidR="00660A43" w:rsidRPr="00EF3263" w:rsidRDefault="00660A43" w:rsidP="00660A43">
      <w:pPr>
        <w:pStyle w:val="a3"/>
        <w:ind w:left="839"/>
        <w:rPr>
          <w:color w:val="000000" w:themeColor="text1"/>
        </w:rPr>
      </w:pPr>
      <w:r w:rsidRPr="00EF3263">
        <w:rPr>
          <w:rFonts w:hint="eastAsia"/>
          <w:color w:val="000000" w:themeColor="text1"/>
        </w:rPr>
        <w:t>なお、（</w:t>
      </w:r>
      <w:r w:rsidRPr="00EF3263">
        <w:rPr>
          <w:rFonts w:hint="eastAsia"/>
          <w:color w:val="000000" w:themeColor="text1"/>
        </w:rPr>
        <w:t>5</w:t>
      </w:r>
      <w:r w:rsidRPr="00EF3263">
        <w:rPr>
          <w:rFonts w:hint="eastAsia"/>
          <w:color w:val="000000" w:themeColor="text1"/>
        </w:rPr>
        <w:t>）～（</w:t>
      </w:r>
      <w:r w:rsidRPr="00EF3263">
        <w:rPr>
          <w:rFonts w:hint="eastAsia"/>
          <w:color w:val="000000" w:themeColor="text1"/>
        </w:rPr>
        <w:t>7</w:t>
      </w:r>
      <w:r w:rsidRPr="00EF3263">
        <w:rPr>
          <w:rFonts w:hint="eastAsia"/>
          <w:color w:val="000000" w:themeColor="text1"/>
        </w:rPr>
        <w:t>）については本学会　定款　第</w:t>
      </w:r>
      <w:r w:rsidR="00105F95" w:rsidRPr="00EF3263">
        <w:rPr>
          <w:rFonts w:hint="eastAsia"/>
          <w:color w:val="000000" w:themeColor="text1"/>
        </w:rPr>
        <w:t>18</w:t>
      </w:r>
      <w:r w:rsidRPr="00EF3263">
        <w:rPr>
          <w:rFonts w:hint="eastAsia"/>
          <w:color w:val="000000" w:themeColor="text1"/>
        </w:rPr>
        <w:t>条に基づき</w:t>
      </w:r>
      <w:r w:rsidR="00105F95" w:rsidRPr="00EF3263">
        <w:rPr>
          <w:rFonts w:hint="eastAsia"/>
          <w:color w:val="000000" w:themeColor="text1"/>
        </w:rPr>
        <w:t>理事会並びに評議委員会</w:t>
      </w:r>
      <w:r w:rsidRPr="00EF3263">
        <w:rPr>
          <w:rFonts w:hint="eastAsia"/>
          <w:color w:val="000000" w:themeColor="text1"/>
        </w:rPr>
        <w:t>の決議を要する。</w:t>
      </w:r>
    </w:p>
    <w:p w14:paraId="5ACF6417" w14:textId="77777777" w:rsidR="00660A43" w:rsidRPr="00EF3263" w:rsidRDefault="00660A43" w:rsidP="00660A43">
      <w:pPr>
        <w:pStyle w:val="a3"/>
        <w:numPr>
          <w:ilvl w:val="0"/>
          <w:numId w:val="14"/>
        </w:numPr>
        <w:rPr>
          <w:b/>
          <w:color w:val="000000" w:themeColor="text1"/>
        </w:rPr>
      </w:pPr>
      <w:r w:rsidRPr="00EF3263">
        <w:rPr>
          <w:rFonts w:hint="eastAsia"/>
          <w:b/>
          <w:color w:val="000000" w:themeColor="text1"/>
        </w:rPr>
        <w:t>不服申し立てと審査</w:t>
      </w:r>
    </w:p>
    <w:p w14:paraId="613FB207" w14:textId="1B1AAA40" w:rsidR="00660A43" w:rsidRPr="00EF3263" w:rsidRDefault="00660A43" w:rsidP="00660A43">
      <w:pPr>
        <w:ind w:firstLine="210"/>
        <w:rPr>
          <w:color w:val="000000" w:themeColor="text1"/>
        </w:rPr>
      </w:pPr>
      <w:r w:rsidRPr="00EF3263">
        <w:rPr>
          <w:rFonts w:hint="eastAsia"/>
          <w:color w:val="000000" w:themeColor="text1"/>
        </w:rPr>
        <w:t>前項の措置を受けた者は、本学会に対し不服の申し立てをすることができる。本学会理事長は、これを受理した場合、速やかに不服申し立て審査員会を設置して、当該事案の審査を委任し、その答申を理事会で審議のうえ、審査結果を不服申し立て者に通知する。</w:t>
      </w:r>
    </w:p>
    <w:p w14:paraId="639D910E" w14:textId="77777777" w:rsidR="00660A43" w:rsidRPr="00EF3263" w:rsidRDefault="00660A43" w:rsidP="00660A43">
      <w:pPr>
        <w:pStyle w:val="a3"/>
        <w:numPr>
          <w:ilvl w:val="0"/>
          <w:numId w:val="14"/>
        </w:numPr>
        <w:rPr>
          <w:b/>
          <w:color w:val="000000" w:themeColor="text1"/>
        </w:rPr>
      </w:pPr>
      <w:r w:rsidRPr="00EF3263">
        <w:rPr>
          <w:rFonts w:hint="eastAsia"/>
          <w:b/>
          <w:color w:val="000000" w:themeColor="text1"/>
        </w:rPr>
        <w:t>説明責任</w:t>
      </w:r>
    </w:p>
    <w:p w14:paraId="2ED2B01C" w14:textId="77777777" w:rsidR="00660A43" w:rsidRPr="00EF3263" w:rsidRDefault="00660A43" w:rsidP="00660A43">
      <w:pPr>
        <w:ind w:firstLine="210"/>
        <w:rPr>
          <w:color w:val="000000" w:themeColor="text1"/>
        </w:rPr>
      </w:pPr>
      <w:r w:rsidRPr="00EF3263">
        <w:rPr>
          <w:rFonts w:hint="eastAsia"/>
          <w:color w:val="000000" w:themeColor="text1"/>
        </w:rPr>
        <w:lastRenderedPageBreak/>
        <w:t>本学会は、自ら関与する事業において発表された成人矯正歯科研究の成果について、重大な本指針の違反があると判断した場合は、理事会の協議を経て社会に対する説明責任を果たすものとする。</w:t>
      </w:r>
    </w:p>
    <w:p w14:paraId="63BAFCD5" w14:textId="77777777" w:rsidR="009855FF" w:rsidRPr="00EF3263" w:rsidRDefault="009855FF" w:rsidP="00660A43">
      <w:pPr>
        <w:ind w:firstLine="210"/>
        <w:rPr>
          <w:color w:val="000000" w:themeColor="text1"/>
        </w:rPr>
      </w:pPr>
    </w:p>
    <w:p w14:paraId="17826F58" w14:textId="77777777" w:rsidR="00660A43" w:rsidRPr="00EF3263" w:rsidRDefault="00660A43" w:rsidP="00660A43">
      <w:pPr>
        <w:pStyle w:val="a3"/>
        <w:numPr>
          <w:ilvl w:val="0"/>
          <w:numId w:val="1"/>
        </w:numPr>
        <w:rPr>
          <w:b/>
          <w:color w:val="000000" w:themeColor="text1"/>
        </w:rPr>
      </w:pPr>
      <w:r w:rsidRPr="00EF3263">
        <w:rPr>
          <w:rFonts w:hint="eastAsia"/>
          <w:b/>
          <w:color w:val="000000" w:themeColor="text1"/>
        </w:rPr>
        <w:t>細則などの制定</w:t>
      </w:r>
    </w:p>
    <w:p w14:paraId="01F62F08" w14:textId="77777777" w:rsidR="00660A43" w:rsidRPr="00EF3263" w:rsidRDefault="00660A43" w:rsidP="00A05D99">
      <w:pPr>
        <w:ind w:firstLine="210"/>
        <w:rPr>
          <w:color w:val="000000" w:themeColor="text1"/>
        </w:rPr>
      </w:pPr>
      <w:r w:rsidRPr="00EF3263">
        <w:rPr>
          <w:rFonts w:hint="eastAsia"/>
          <w:color w:val="000000" w:themeColor="text1"/>
        </w:rPr>
        <w:t>本学会は、本指針を運用するために必要な規則・細則などを制定することができる。</w:t>
      </w:r>
    </w:p>
    <w:p w14:paraId="5C76F1E3" w14:textId="77777777" w:rsidR="009855FF" w:rsidRPr="00EF3263" w:rsidRDefault="009855FF" w:rsidP="00660A43">
      <w:pPr>
        <w:pStyle w:val="a3"/>
        <w:ind w:left="420"/>
        <w:rPr>
          <w:color w:val="000000" w:themeColor="text1"/>
        </w:rPr>
      </w:pPr>
    </w:p>
    <w:p w14:paraId="5A2A8335" w14:textId="77777777" w:rsidR="00660A43" w:rsidRPr="00EF3263" w:rsidRDefault="00660A43" w:rsidP="00660A43">
      <w:pPr>
        <w:pStyle w:val="a3"/>
        <w:numPr>
          <w:ilvl w:val="0"/>
          <w:numId w:val="1"/>
        </w:numPr>
        <w:rPr>
          <w:b/>
          <w:color w:val="000000" w:themeColor="text1"/>
        </w:rPr>
      </w:pPr>
      <w:r w:rsidRPr="00EF3263">
        <w:rPr>
          <w:rFonts w:hint="eastAsia"/>
          <w:b/>
          <w:color w:val="000000" w:themeColor="text1"/>
        </w:rPr>
        <w:t>指針の改定</w:t>
      </w:r>
    </w:p>
    <w:p w14:paraId="2BF86EC2" w14:textId="0634B428" w:rsidR="00660A43" w:rsidRPr="00EF3263" w:rsidRDefault="00660A43" w:rsidP="00660A43">
      <w:pPr>
        <w:ind w:firstLine="210"/>
        <w:rPr>
          <w:color w:val="000000" w:themeColor="text1"/>
        </w:rPr>
      </w:pPr>
      <w:r w:rsidRPr="00EF3263">
        <w:rPr>
          <w:rFonts w:hint="eastAsia"/>
          <w:color w:val="000000" w:themeColor="text1"/>
        </w:rPr>
        <w:t>本指針は、社会的要因や産学連携に関する法令の改正ならびに医療および臨床研究に関わる諸条件の変化などに適合させる必要がある場合、</w:t>
      </w:r>
      <w:r w:rsidR="00DF318E" w:rsidRPr="00EF3263">
        <w:rPr>
          <w:rFonts w:hint="eastAsia"/>
          <w:color w:val="000000" w:themeColor="text1"/>
        </w:rPr>
        <w:t>コンプライアンス</w:t>
      </w:r>
      <w:r w:rsidRPr="00EF3263">
        <w:rPr>
          <w:rFonts w:hint="eastAsia"/>
          <w:color w:val="000000" w:themeColor="text1"/>
        </w:rPr>
        <w:t>委員会の答申に基づき理事会の議を経て改正することができる。</w:t>
      </w:r>
    </w:p>
    <w:p w14:paraId="74BDCE88" w14:textId="77777777" w:rsidR="009855FF" w:rsidRPr="00EF3263" w:rsidRDefault="009855FF" w:rsidP="00660A43">
      <w:pPr>
        <w:ind w:firstLine="210"/>
        <w:rPr>
          <w:color w:val="000000" w:themeColor="text1"/>
        </w:rPr>
      </w:pPr>
    </w:p>
    <w:p w14:paraId="30A9313E" w14:textId="77777777" w:rsidR="00660A43" w:rsidRPr="00EF3263" w:rsidRDefault="00660A43" w:rsidP="00660A43">
      <w:pPr>
        <w:pStyle w:val="a3"/>
        <w:numPr>
          <w:ilvl w:val="0"/>
          <w:numId w:val="1"/>
        </w:numPr>
        <w:rPr>
          <w:b/>
          <w:color w:val="000000" w:themeColor="text1"/>
        </w:rPr>
      </w:pPr>
      <w:r w:rsidRPr="00EF3263">
        <w:rPr>
          <w:rFonts w:hint="eastAsia"/>
          <w:b/>
          <w:color w:val="000000" w:themeColor="text1"/>
        </w:rPr>
        <w:t>附</w:t>
      </w:r>
      <w:r w:rsidR="009855FF" w:rsidRPr="00EF3263">
        <w:rPr>
          <w:rFonts w:hint="eastAsia"/>
          <w:b/>
          <w:color w:val="000000" w:themeColor="text1"/>
        </w:rPr>
        <w:t xml:space="preserve">　</w:t>
      </w:r>
      <w:r w:rsidRPr="00EF3263">
        <w:rPr>
          <w:rFonts w:hint="eastAsia"/>
          <w:b/>
          <w:color w:val="000000" w:themeColor="text1"/>
        </w:rPr>
        <w:t>則</w:t>
      </w:r>
    </w:p>
    <w:p w14:paraId="65D2D87C" w14:textId="749992AE" w:rsidR="00660A43" w:rsidRPr="00EF3263" w:rsidRDefault="009855FF" w:rsidP="009855FF">
      <w:pPr>
        <w:pStyle w:val="a3"/>
        <w:numPr>
          <w:ilvl w:val="0"/>
          <w:numId w:val="17"/>
        </w:numPr>
        <w:rPr>
          <w:color w:val="000000" w:themeColor="text1"/>
        </w:rPr>
      </w:pPr>
      <w:r w:rsidRPr="00EF3263">
        <w:rPr>
          <w:rFonts w:hint="eastAsia"/>
          <w:color w:val="000000" w:themeColor="text1"/>
        </w:rPr>
        <w:t>本指針は、</w:t>
      </w:r>
      <w:r w:rsidRPr="00EF3263">
        <w:rPr>
          <w:rFonts w:hint="eastAsia"/>
          <w:color w:val="000000" w:themeColor="text1"/>
        </w:rPr>
        <w:t>20</w:t>
      </w:r>
      <w:r w:rsidR="005B48D8" w:rsidRPr="00EF3263">
        <w:rPr>
          <w:rFonts w:hint="eastAsia"/>
          <w:color w:val="000000" w:themeColor="text1"/>
        </w:rPr>
        <w:t>21</w:t>
      </w:r>
      <w:r w:rsidRPr="00EF3263">
        <w:rPr>
          <w:rFonts w:hint="eastAsia"/>
          <w:color w:val="000000" w:themeColor="text1"/>
        </w:rPr>
        <w:t>年</w:t>
      </w:r>
      <w:r w:rsidR="005B48D8" w:rsidRPr="00EF3263">
        <w:rPr>
          <w:color w:val="000000" w:themeColor="text1"/>
        </w:rPr>
        <w:t>10</w:t>
      </w:r>
      <w:r w:rsidRPr="00EF3263">
        <w:rPr>
          <w:rFonts w:hint="eastAsia"/>
          <w:color w:val="000000" w:themeColor="text1"/>
        </w:rPr>
        <w:t>月</w:t>
      </w:r>
      <w:r w:rsidR="005B48D8" w:rsidRPr="00EF3263">
        <w:rPr>
          <w:color w:val="000000" w:themeColor="text1"/>
        </w:rPr>
        <w:t>1</w:t>
      </w:r>
      <w:r w:rsidRPr="00EF3263">
        <w:rPr>
          <w:rFonts w:hint="eastAsia"/>
          <w:color w:val="000000" w:themeColor="text1"/>
        </w:rPr>
        <w:t>日に制定し、</w:t>
      </w:r>
      <w:r w:rsidR="005B48D8" w:rsidRPr="00EF3263">
        <w:rPr>
          <w:color w:val="000000" w:themeColor="text1"/>
        </w:rPr>
        <w:t>202</w:t>
      </w:r>
      <w:r w:rsidR="00567E41" w:rsidRPr="00EF3263">
        <w:rPr>
          <w:rFonts w:hint="eastAsia"/>
          <w:color w:val="000000" w:themeColor="text1"/>
        </w:rPr>
        <w:t>2</w:t>
      </w:r>
      <w:r w:rsidR="005B48D8" w:rsidRPr="00EF3263">
        <w:rPr>
          <w:rFonts w:hint="eastAsia"/>
          <w:color w:val="000000" w:themeColor="text1"/>
        </w:rPr>
        <w:t>年</w:t>
      </w:r>
      <w:r w:rsidR="005B48D8" w:rsidRPr="00EF3263">
        <w:rPr>
          <w:rFonts w:hint="eastAsia"/>
          <w:color w:val="000000" w:themeColor="text1"/>
        </w:rPr>
        <w:t>1</w:t>
      </w:r>
      <w:r w:rsidR="005B48D8" w:rsidRPr="00EF3263">
        <w:rPr>
          <w:rFonts w:hint="eastAsia"/>
          <w:color w:val="000000" w:themeColor="text1"/>
        </w:rPr>
        <w:t>月</w:t>
      </w:r>
      <w:r w:rsidR="005B48D8" w:rsidRPr="00EF3263">
        <w:rPr>
          <w:rFonts w:hint="eastAsia"/>
          <w:color w:val="000000" w:themeColor="text1"/>
        </w:rPr>
        <w:t>1</w:t>
      </w:r>
      <w:r w:rsidRPr="00EF3263">
        <w:rPr>
          <w:rFonts w:hint="eastAsia"/>
          <w:color w:val="000000" w:themeColor="text1"/>
        </w:rPr>
        <w:t>日より施行する。</w:t>
      </w:r>
    </w:p>
    <w:p w14:paraId="64C7F964" w14:textId="77777777" w:rsidR="006269FB" w:rsidRPr="008F31A2" w:rsidRDefault="006269FB" w:rsidP="006269FB"/>
    <w:p w14:paraId="66B76431" w14:textId="77777777" w:rsidR="00780886" w:rsidRDefault="00780886" w:rsidP="00780886"/>
    <w:p w14:paraId="248B971A" w14:textId="77777777" w:rsidR="001F4688" w:rsidRPr="003C2728" w:rsidRDefault="001F4688" w:rsidP="009855FF"/>
    <w:sectPr w:rsidR="001F4688" w:rsidRPr="003C2728" w:rsidSect="008B2B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285B" w14:textId="77777777" w:rsidR="002F39C3" w:rsidRDefault="002F39C3" w:rsidP="001042EE">
      <w:r>
        <w:separator/>
      </w:r>
    </w:p>
  </w:endnote>
  <w:endnote w:type="continuationSeparator" w:id="0">
    <w:p w14:paraId="244D7F0A" w14:textId="77777777" w:rsidR="002F39C3" w:rsidRDefault="002F39C3" w:rsidP="0010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DF50" w14:textId="77777777" w:rsidR="002F39C3" w:rsidRDefault="002F39C3" w:rsidP="001042EE">
      <w:r>
        <w:separator/>
      </w:r>
    </w:p>
  </w:footnote>
  <w:footnote w:type="continuationSeparator" w:id="0">
    <w:p w14:paraId="395CCB42" w14:textId="77777777" w:rsidR="002F39C3" w:rsidRDefault="002F39C3" w:rsidP="0010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07"/>
    <w:multiLevelType w:val="hybridMultilevel"/>
    <w:tmpl w:val="90102404"/>
    <w:lvl w:ilvl="0" w:tplc="BDC019E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B121BC"/>
    <w:multiLevelType w:val="hybridMultilevel"/>
    <w:tmpl w:val="D5BE51D8"/>
    <w:lvl w:ilvl="0" w:tplc="BDC019E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FF2251"/>
    <w:multiLevelType w:val="hybridMultilevel"/>
    <w:tmpl w:val="61F2F6DE"/>
    <w:lvl w:ilvl="0" w:tplc="BDC019E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1B6911"/>
    <w:multiLevelType w:val="hybridMultilevel"/>
    <w:tmpl w:val="079095AA"/>
    <w:lvl w:ilvl="0" w:tplc="BDC019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AC092E"/>
    <w:multiLevelType w:val="hybridMultilevel"/>
    <w:tmpl w:val="D5BE51D8"/>
    <w:lvl w:ilvl="0" w:tplc="BDC019E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56C4EFA"/>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6" w15:restartNumberingAfterBreak="0">
    <w:nsid w:val="26153738"/>
    <w:multiLevelType w:val="hybridMultilevel"/>
    <w:tmpl w:val="600403E8"/>
    <w:lvl w:ilvl="0" w:tplc="04090013">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DA2CB2"/>
    <w:multiLevelType w:val="hybridMultilevel"/>
    <w:tmpl w:val="ADD2F186"/>
    <w:lvl w:ilvl="0" w:tplc="AC2ECD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A2120C"/>
    <w:multiLevelType w:val="hybridMultilevel"/>
    <w:tmpl w:val="ADD2F186"/>
    <w:lvl w:ilvl="0" w:tplc="AC2ECD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5736E3"/>
    <w:multiLevelType w:val="hybridMultilevel"/>
    <w:tmpl w:val="C91CF28A"/>
    <w:lvl w:ilvl="0" w:tplc="BDC019E6">
      <w:start w:val="1"/>
      <w:numFmt w:val="decimal"/>
      <w:lvlText w:val="(%1)"/>
      <w:lvlJc w:val="left"/>
      <w:pPr>
        <w:ind w:left="839"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0" w15:restartNumberingAfterBreak="0">
    <w:nsid w:val="408F639E"/>
    <w:multiLevelType w:val="hybridMultilevel"/>
    <w:tmpl w:val="6B4CCBF0"/>
    <w:lvl w:ilvl="0" w:tplc="AC2ECD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F7E82"/>
    <w:multiLevelType w:val="hybridMultilevel"/>
    <w:tmpl w:val="2CB80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A6FCD"/>
    <w:multiLevelType w:val="hybridMultilevel"/>
    <w:tmpl w:val="99340E52"/>
    <w:lvl w:ilvl="0" w:tplc="AC2ECD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495590"/>
    <w:multiLevelType w:val="hybridMultilevel"/>
    <w:tmpl w:val="665EC0AC"/>
    <w:lvl w:ilvl="0" w:tplc="BDC019E6">
      <w:start w:val="1"/>
      <w:numFmt w:val="decimal"/>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 w15:restartNumberingAfterBreak="0">
    <w:nsid w:val="6B3F1349"/>
    <w:multiLevelType w:val="hybridMultilevel"/>
    <w:tmpl w:val="33A4670C"/>
    <w:lvl w:ilvl="0" w:tplc="56E62B6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B5D69E7"/>
    <w:multiLevelType w:val="multilevel"/>
    <w:tmpl w:val="E6445A42"/>
    <w:lvl w:ilvl="0">
      <w:start w:val="1"/>
      <w:numFmt w:val="decimal"/>
      <w:lvlText w:val="%1"/>
      <w:lvlJc w:val="left"/>
      <w:pPr>
        <w:ind w:left="425" w:hanging="425"/>
      </w:pPr>
      <w:rPr>
        <w:rFonts w:hint="eastAsia"/>
      </w:rPr>
    </w:lvl>
    <w:lvl w:ilvl="1">
      <w:start w:val="1"/>
      <w:numFmt w:val="decimal"/>
      <w:lvlText w:val="%1.(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D242599"/>
    <w:multiLevelType w:val="hybridMultilevel"/>
    <w:tmpl w:val="276A62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4"/>
  </w:num>
  <w:num w:numId="5">
    <w:abstractNumId w:val="1"/>
  </w:num>
  <w:num w:numId="6">
    <w:abstractNumId w:val="14"/>
  </w:num>
  <w:num w:numId="7">
    <w:abstractNumId w:val="2"/>
  </w:num>
  <w:num w:numId="8">
    <w:abstractNumId w:val="12"/>
  </w:num>
  <w:num w:numId="9">
    <w:abstractNumId w:val="3"/>
  </w:num>
  <w:num w:numId="10">
    <w:abstractNumId w:val="13"/>
  </w:num>
  <w:num w:numId="11">
    <w:abstractNumId w:val="10"/>
  </w:num>
  <w:num w:numId="12">
    <w:abstractNumId w:val="11"/>
  </w:num>
  <w:num w:numId="13">
    <w:abstractNumId w:val="16"/>
  </w:num>
  <w:num w:numId="14">
    <w:abstractNumId w:val="7"/>
  </w:num>
  <w:num w:numId="15">
    <w:abstractNumId w:val="1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AD"/>
    <w:rsid w:val="00013C33"/>
    <w:rsid w:val="0004599A"/>
    <w:rsid w:val="00071C02"/>
    <w:rsid w:val="000E5E33"/>
    <w:rsid w:val="001042EE"/>
    <w:rsid w:val="00105F95"/>
    <w:rsid w:val="00151782"/>
    <w:rsid w:val="00180C80"/>
    <w:rsid w:val="001C5EC2"/>
    <w:rsid w:val="001F4688"/>
    <w:rsid w:val="00237FC1"/>
    <w:rsid w:val="002F39C3"/>
    <w:rsid w:val="00305A2E"/>
    <w:rsid w:val="00344C47"/>
    <w:rsid w:val="0039240C"/>
    <w:rsid w:val="003A4320"/>
    <w:rsid w:val="003C2728"/>
    <w:rsid w:val="004357DB"/>
    <w:rsid w:val="00476E4B"/>
    <w:rsid w:val="004A226B"/>
    <w:rsid w:val="00554F82"/>
    <w:rsid w:val="00567E41"/>
    <w:rsid w:val="00573FF8"/>
    <w:rsid w:val="005B48D8"/>
    <w:rsid w:val="006269FB"/>
    <w:rsid w:val="00660A43"/>
    <w:rsid w:val="006A4254"/>
    <w:rsid w:val="006F6656"/>
    <w:rsid w:val="007076A0"/>
    <w:rsid w:val="0077331E"/>
    <w:rsid w:val="00780886"/>
    <w:rsid w:val="00820462"/>
    <w:rsid w:val="008B2BAD"/>
    <w:rsid w:val="008F31A2"/>
    <w:rsid w:val="00934664"/>
    <w:rsid w:val="009855FF"/>
    <w:rsid w:val="009B13C7"/>
    <w:rsid w:val="00A0294B"/>
    <w:rsid w:val="00A05D99"/>
    <w:rsid w:val="00A27DF4"/>
    <w:rsid w:val="00AC2812"/>
    <w:rsid w:val="00B84901"/>
    <w:rsid w:val="00BB6B8A"/>
    <w:rsid w:val="00BF44A6"/>
    <w:rsid w:val="00D776FB"/>
    <w:rsid w:val="00DF318E"/>
    <w:rsid w:val="00EC3548"/>
    <w:rsid w:val="00EF3263"/>
    <w:rsid w:val="00F86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75321"/>
  <w15:docId w15:val="{ECBB2E4C-A891-43AA-AF53-02404CA3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7DF4"/>
    <w:pPr>
      <w:keepNext/>
      <w:numPr>
        <w:numId w:val="2"/>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27DF4"/>
    <w:pPr>
      <w:keepNext/>
      <w:numPr>
        <w:ilvl w:val="1"/>
        <w:numId w:val="2"/>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27DF4"/>
    <w:pPr>
      <w:keepNext/>
      <w:numPr>
        <w:ilvl w:val="2"/>
        <w:numId w:val="2"/>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27DF4"/>
    <w:pPr>
      <w:keepNext/>
      <w:numPr>
        <w:ilvl w:val="3"/>
        <w:numId w:val="2"/>
      </w:numPr>
      <w:outlineLvl w:val="3"/>
    </w:pPr>
    <w:rPr>
      <w:b/>
      <w:bCs/>
    </w:rPr>
  </w:style>
  <w:style w:type="paragraph" w:styleId="5">
    <w:name w:val="heading 5"/>
    <w:basedOn w:val="a"/>
    <w:next w:val="a"/>
    <w:link w:val="50"/>
    <w:uiPriority w:val="9"/>
    <w:semiHidden/>
    <w:unhideWhenUsed/>
    <w:qFormat/>
    <w:rsid w:val="00A27DF4"/>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27DF4"/>
    <w:pPr>
      <w:keepNext/>
      <w:numPr>
        <w:ilvl w:val="5"/>
        <w:numId w:val="2"/>
      </w:numPr>
      <w:outlineLvl w:val="5"/>
    </w:pPr>
    <w:rPr>
      <w:b/>
      <w:bCs/>
    </w:rPr>
  </w:style>
  <w:style w:type="paragraph" w:styleId="7">
    <w:name w:val="heading 7"/>
    <w:basedOn w:val="a"/>
    <w:next w:val="a"/>
    <w:link w:val="70"/>
    <w:uiPriority w:val="9"/>
    <w:semiHidden/>
    <w:unhideWhenUsed/>
    <w:qFormat/>
    <w:rsid w:val="00A27DF4"/>
    <w:pPr>
      <w:keepNext/>
      <w:numPr>
        <w:ilvl w:val="6"/>
        <w:numId w:val="2"/>
      </w:numPr>
      <w:outlineLvl w:val="6"/>
    </w:pPr>
  </w:style>
  <w:style w:type="paragraph" w:styleId="8">
    <w:name w:val="heading 8"/>
    <w:basedOn w:val="a"/>
    <w:next w:val="a"/>
    <w:link w:val="80"/>
    <w:uiPriority w:val="9"/>
    <w:semiHidden/>
    <w:unhideWhenUsed/>
    <w:qFormat/>
    <w:rsid w:val="00A27DF4"/>
    <w:pPr>
      <w:keepNext/>
      <w:numPr>
        <w:ilvl w:val="7"/>
        <w:numId w:val="2"/>
      </w:numPr>
      <w:outlineLvl w:val="7"/>
    </w:pPr>
  </w:style>
  <w:style w:type="paragraph" w:styleId="9">
    <w:name w:val="heading 9"/>
    <w:basedOn w:val="a"/>
    <w:next w:val="a"/>
    <w:link w:val="90"/>
    <w:uiPriority w:val="9"/>
    <w:semiHidden/>
    <w:unhideWhenUsed/>
    <w:qFormat/>
    <w:rsid w:val="00A27DF4"/>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BAD"/>
    <w:pPr>
      <w:ind w:left="840"/>
    </w:pPr>
  </w:style>
  <w:style w:type="character" w:customStyle="1" w:styleId="10">
    <w:name w:val="見出し 1 (文字)"/>
    <w:basedOn w:val="a0"/>
    <w:link w:val="1"/>
    <w:uiPriority w:val="9"/>
    <w:rsid w:val="00A27DF4"/>
    <w:rPr>
      <w:rFonts w:asciiTheme="majorHAnsi" w:eastAsiaTheme="majorEastAsia" w:hAnsiTheme="majorHAnsi" w:cstheme="majorBidi"/>
      <w:sz w:val="24"/>
      <w:szCs w:val="24"/>
    </w:rPr>
  </w:style>
  <w:style w:type="character" w:customStyle="1" w:styleId="20">
    <w:name w:val="見出し 2 (文字)"/>
    <w:basedOn w:val="a0"/>
    <w:link w:val="2"/>
    <w:uiPriority w:val="9"/>
    <w:rsid w:val="00A27DF4"/>
    <w:rPr>
      <w:rFonts w:asciiTheme="majorHAnsi" w:eastAsiaTheme="majorEastAsia" w:hAnsiTheme="majorHAnsi" w:cstheme="majorBidi"/>
    </w:rPr>
  </w:style>
  <w:style w:type="character" w:customStyle="1" w:styleId="30">
    <w:name w:val="見出し 3 (文字)"/>
    <w:basedOn w:val="a0"/>
    <w:link w:val="3"/>
    <w:uiPriority w:val="9"/>
    <w:semiHidden/>
    <w:rsid w:val="00A27DF4"/>
    <w:rPr>
      <w:rFonts w:asciiTheme="majorHAnsi" w:eastAsiaTheme="majorEastAsia" w:hAnsiTheme="majorHAnsi" w:cstheme="majorBidi"/>
    </w:rPr>
  </w:style>
  <w:style w:type="character" w:customStyle="1" w:styleId="40">
    <w:name w:val="見出し 4 (文字)"/>
    <w:basedOn w:val="a0"/>
    <w:link w:val="4"/>
    <w:uiPriority w:val="9"/>
    <w:semiHidden/>
    <w:rsid w:val="00A27DF4"/>
    <w:rPr>
      <w:b/>
      <w:bCs/>
    </w:rPr>
  </w:style>
  <w:style w:type="character" w:customStyle="1" w:styleId="50">
    <w:name w:val="見出し 5 (文字)"/>
    <w:basedOn w:val="a0"/>
    <w:link w:val="5"/>
    <w:uiPriority w:val="9"/>
    <w:semiHidden/>
    <w:rsid w:val="00A27DF4"/>
    <w:rPr>
      <w:rFonts w:asciiTheme="majorHAnsi" w:eastAsiaTheme="majorEastAsia" w:hAnsiTheme="majorHAnsi" w:cstheme="majorBidi"/>
    </w:rPr>
  </w:style>
  <w:style w:type="character" w:customStyle="1" w:styleId="60">
    <w:name w:val="見出し 6 (文字)"/>
    <w:basedOn w:val="a0"/>
    <w:link w:val="6"/>
    <w:uiPriority w:val="9"/>
    <w:semiHidden/>
    <w:rsid w:val="00A27DF4"/>
    <w:rPr>
      <w:b/>
      <w:bCs/>
    </w:rPr>
  </w:style>
  <w:style w:type="character" w:customStyle="1" w:styleId="70">
    <w:name w:val="見出し 7 (文字)"/>
    <w:basedOn w:val="a0"/>
    <w:link w:val="7"/>
    <w:uiPriority w:val="9"/>
    <w:semiHidden/>
    <w:rsid w:val="00A27DF4"/>
  </w:style>
  <w:style w:type="character" w:customStyle="1" w:styleId="80">
    <w:name w:val="見出し 8 (文字)"/>
    <w:basedOn w:val="a0"/>
    <w:link w:val="8"/>
    <w:uiPriority w:val="9"/>
    <w:semiHidden/>
    <w:rsid w:val="00A27DF4"/>
  </w:style>
  <w:style w:type="character" w:customStyle="1" w:styleId="90">
    <w:name w:val="見出し 9 (文字)"/>
    <w:basedOn w:val="a0"/>
    <w:link w:val="9"/>
    <w:uiPriority w:val="9"/>
    <w:semiHidden/>
    <w:rsid w:val="00A27DF4"/>
  </w:style>
  <w:style w:type="paragraph" w:styleId="a4">
    <w:name w:val="header"/>
    <w:basedOn w:val="a"/>
    <w:link w:val="a5"/>
    <w:uiPriority w:val="99"/>
    <w:unhideWhenUsed/>
    <w:rsid w:val="001042EE"/>
    <w:pPr>
      <w:tabs>
        <w:tab w:val="center" w:pos="4252"/>
        <w:tab w:val="right" w:pos="8504"/>
      </w:tabs>
      <w:snapToGrid w:val="0"/>
    </w:pPr>
  </w:style>
  <w:style w:type="character" w:customStyle="1" w:styleId="a5">
    <w:name w:val="ヘッダー (文字)"/>
    <w:basedOn w:val="a0"/>
    <w:link w:val="a4"/>
    <w:uiPriority w:val="99"/>
    <w:rsid w:val="001042EE"/>
  </w:style>
  <w:style w:type="paragraph" w:styleId="a6">
    <w:name w:val="footer"/>
    <w:basedOn w:val="a"/>
    <w:link w:val="a7"/>
    <w:uiPriority w:val="99"/>
    <w:unhideWhenUsed/>
    <w:rsid w:val="001042EE"/>
    <w:pPr>
      <w:tabs>
        <w:tab w:val="center" w:pos="4252"/>
        <w:tab w:val="right" w:pos="8504"/>
      </w:tabs>
      <w:snapToGrid w:val="0"/>
    </w:pPr>
  </w:style>
  <w:style w:type="character" w:customStyle="1" w:styleId="a7">
    <w:name w:val="フッター (文字)"/>
    <w:basedOn w:val="a0"/>
    <w:link w:val="a6"/>
    <w:uiPriority w:val="99"/>
    <w:rsid w:val="0010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yoshito</dc:creator>
  <cp:lastModifiedBy>qc527</cp:lastModifiedBy>
  <cp:revision>2</cp:revision>
  <dcterms:created xsi:type="dcterms:W3CDTF">2021-10-12T01:00:00Z</dcterms:created>
  <dcterms:modified xsi:type="dcterms:W3CDTF">2021-10-12T01:00:00Z</dcterms:modified>
</cp:coreProperties>
</file>